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92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9"/>
        <w:gridCol w:w="3435"/>
        <w:gridCol w:w="3120"/>
      </w:tblGrid>
      <w:tr w14:paraId="4D090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noWrap/>
          </w:tcPr>
          <w:p w14:paraId="4A087B66">
            <w:pPr>
              <w:pStyle w:val="219"/>
              <w:ind w:left="312" w:right="-144" w:hanging="31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СОГЛАСОВАНО</w:t>
            </w:r>
          </w:p>
          <w:p w14:paraId="79B9BBE3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14:paraId="573EFA0F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Государственного автономного учреждения дополнительного образования Новосибирской области «Спортивная школа по шахматам»</w:t>
            </w:r>
          </w:p>
          <w:p w14:paraId="00F4DD37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00D5375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50FD69B4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137B31A1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_____________П.С. Малетин</w:t>
            </w:r>
          </w:p>
          <w:p w14:paraId="56C405C0">
            <w:pPr>
              <w:pStyle w:val="219"/>
              <w:ind w:right="-144"/>
              <w:rPr>
                <w:sz w:val="10"/>
                <w:szCs w:val="10"/>
              </w:rPr>
            </w:pPr>
          </w:p>
          <w:p w14:paraId="2D6C9C29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</w:t>
            </w:r>
            <w:r>
              <w:rPr>
                <w:sz w:val="24"/>
                <w:szCs w:val="24"/>
                <w:lang w:val="en-US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435" w:type="dxa"/>
            <w:noWrap/>
          </w:tcPr>
          <w:p w14:paraId="46B1A6F3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СОГЛАСОВАНО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Министр</w:t>
            </w:r>
          </w:p>
          <w:p w14:paraId="22C8FF86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физической культуры и спорта</w:t>
            </w:r>
          </w:p>
          <w:p w14:paraId="33A6113D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Новосибирской области</w:t>
            </w:r>
          </w:p>
          <w:p w14:paraId="18A1B60A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0819634F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4A9CF7F9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7D8AD977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0AABA4F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FA09996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3B3A8381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_______________С.А. Ахапов</w:t>
            </w:r>
          </w:p>
          <w:p w14:paraId="128EEF77">
            <w:pPr>
              <w:pStyle w:val="219"/>
              <w:ind w:right="-144"/>
              <w:rPr>
                <w:sz w:val="10"/>
                <w:szCs w:val="10"/>
              </w:rPr>
            </w:pPr>
          </w:p>
          <w:p w14:paraId="55D153E2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«_____»___________2026 г.</w:t>
            </w:r>
          </w:p>
        </w:tc>
        <w:tc>
          <w:tcPr>
            <w:tcW w:w="3120" w:type="dxa"/>
            <w:noWrap/>
          </w:tcPr>
          <w:p w14:paraId="57FE0D8B">
            <w:pPr>
              <w:pStyle w:val="219"/>
              <w:ind w:right="-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УТВЕРЖДАЮ</w:t>
            </w:r>
          </w:p>
          <w:p w14:paraId="23B78EE8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Исполнительный директор Региональной общественной организации по развитию и популяризации шахмат «Федерация шахмат Новосибирской области»</w:t>
            </w:r>
          </w:p>
          <w:p w14:paraId="4372C337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5866D54A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26B44E56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605DC17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_____________С.В. Козлова</w:t>
            </w:r>
          </w:p>
          <w:p w14:paraId="68449F3B">
            <w:pPr>
              <w:pStyle w:val="219"/>
              <w:ind w:right="-144"/>
              <w:rPr>
                <w:sz w:val="10"/>
                <w:szCs w:val="10"/>
              </w:rPr>
            </w:pPr>
          </w:p>
          <w:p w14:paraId="5EC2A62E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</w:t>
            </w:r>
            <w:r>
              <w:rPr>
                <w:sz w:val="24"/>
                <w:szCs w:val="24"/>
                <w:lang w:val="en-US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  <w:p w14:paraId="4A4C873F">
            <w:pPr>
              <w:pStyle w:val="219"/>
              <w:ind w:right="-144"/>
              <w:rPr>
                <w:sz w:val="24"/>
                <w:szCs w:val="24"/>
              </w:rPr>
            </w:pPr>
          </w:p>
        </w:tc>
      </w:tr>
      <w:tr w14:paraId="7B929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3369" w:type="dxa"/>
            <w:noWrap/>
          </w:tcPr>
          <w:p w14:paraId="23C9C4AC">
            <w:pPr>
              <w:ind w:right="-144"/>
              <w:rPr>
                <w:b/>
                <w:sz w:val="24"/>
                <w:szCs w:val="24"/>
              </w:rPr>
            </w:pPr>
          </w:p>
          <w:p w14:paraId="1E28305F">
            <w:pPr>
              <w:pStyle w:val="219"/>
              <w:ind w:left="136" w:right="1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СОГЛАСОВАНО</w:t>
            </w:r>
          </w:p>
          <w:p w14:paraId="115863A0">
            <w:pPr>
              <w:pStyle w:val="219"/>
              <w:ind w:left="136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  <w:p w14:paraId="07BCEA49">
            <w:pPr>
              <w:pStyle w:val="219"/>
              <w:ind w:left="136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Открытого акционерного общества «Стадион «Спартак» </w:t>
            </w:r>
          </w:p>
          <w:p w14:paraId="66CA9061">
            <w:pPr>
              <w:pStyle w:val="219"/>
              <w:ind w:left="136" w:right="141"/>
              <w:rPr>
                <w:sz w:val="24"/>
                <w:szCs w:val="24"/>
              </w:rPr>
            </w:pPr>
          </w:p>
          <w:p w14:paraId="5D96A400">
            <w:pPr>
              <w:pStyle w:val="219"/>
              <w:ind w:left="136" w:right="141"/>
              <w:rPr>
                <w:sz w:val="24"/>
                <w:szCs w:val="24"/>
              </w:rPr>
            </w:pPr>
          </w:p>
          <w:p w14:paraId="1A544EA6">
            <w:pPr>
              <w:pStyle w:val="219"/>
              <w:ind w:left="136" w:right="141"/>
              <w:rPr>
                <w:sz w:val="24"/>
                <w:szCs w:val="24"/>
              </w:rPr>
            </w:pPr>
          </w:p>
          <w:p w14:paraId="79235292">
            <w:pPr>
              <w:pStyle w:val="219"/>
              <w:ind w:left="136" w:right="141"/>
              <w:rPr>
                <w:sz w:val="24"/>
                <w:szCs w:val="24"/>
              </w:rPr>
            </w:pPr>
          </w:p>
          <w:p w14:paraId="1DEE7075">
            <w:pPr>
              <w:pStyle w:val="219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 А.А. Роговский</w:t>
            </w:r>
          </w:p>
          <w:p w14:paraId="35617FBE">
            <w:pPr>
              <w:pStyle w:val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«____»_____________2026 г.</w:t>
            </w:r>
          </w:p>
        </w:tc>
        <w:tc>
          <w:tcPr>
            <w:tcW w:w="3435" w:type="dxa"/>
            <w:noWrap/>
          </w:tcPr>
          <w:p w14:paraId="701C5401">
            <w:pPr>
              <w:pStyle w:val="219"/>
              <w:ind w:right="-144"/>
              <w:rPr>
                <w:b/>
                <w:sz w:val="24"/>
                <w:szCs w:val="24"/>
              </w:rPr>
            </w:pPr>
          </w:p>
          <w:p w14:paraId="4A82B5EB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B758B41">
            <w:pPr>
              <w:pStyle w:val="219"/>
              <w:ind w:right="-144"/>
              <w:rPr>
                <w:sz w:val="24"/>
                <w:szCs w:val="24"/>
              </w:rPr>
            </w:pPr>
          </w:p>
        </w:tc>
        <w:tc>
          <w:tcPr>
            <w:tcW w:w="3120" w:type="dxa"/>
            <w:noWrap/>
          </w:tcPr>
          <w:p w14:paraId="77A80B1E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16216C84">
            <w:pPr>
              <w:pStyle w:val="219"/>
              <w:ind w:right="-144"/>
              <w:rPr>
                <w:sz w:val="24"/>
                <w:szCs w:val="24"/>
              </w:rPr>
            </w:pPr>
          </w:p>
        </w:tc>
      </w:tr>
    </w:tbl>
    <w:p w14:paraId="04B24248">
      <w:pPr>
        <w:ind w:right="-144"/>
        <w:jc w:val="center"/>
        <w:rPr>
          <w:sz w:val="28"/>
          <w:szCs w:val="28"/>
        </w:rPr>
      </w:pPr>
    </w:p>
    <w:p w14:paraId="4713E895">
      <w:pPr>
        <w:ind w:right="-144"/>
        <w:jc w:val="center"/>
        <w:rPr>
          <w:bCs/>
          <w:sz w:val="28"/>
          <w:szCs w:val="28"/>
        </w:rPr>
      </w:pPr>
    </w:p>
    <w:p w14:paraId="224B2C34">
      <w:pPr>
        <w:ind w:right="-144"/>
        <w:jc w:val="center"/>
        <w:rPr>
          <w:bCs/>
          <w:sz w:val="28"/>
          <w:szCs w:val="28"/>
        </w:rPr>
      </w:pPr>
    </w:p>
    <w:p w14:paraId="660DE4DB">
      <w:pPr>
        <w:ind w:right="-144"/>
        <w:jc w:val="center"/>
        <w:rPr>
          <w:bCs/>
          <w:sz w:val="28"/>
          <w:szCs w:val="28"/>
        </w:rPr>
      </w:pPr>
    </w:p>
    <w:p w14:paraId="08B23B26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3BA63F38">
      <w:pPr>
        <w:ind w:right="-144"/>
        <w:jc w:val="center"/>
        <w:rPr>
          <w:sz w:val="28"/>
          <w:szCs w:val="28"/>
        </w:rPr>
      </w:pPr>
    </w:p>
    <w:p w14:paraId="40682B2E">
      <w:pPr>
        <w:pStyle w:val="219"/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регионального фестиваля по шахматам </w:t>
      </w:r>
    </w:p>
    <w:p w14:paraId="46700AF5">
      <w:pPr>
        <w:pStyle w:val="219"/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«Детская шахматная лига», 3 этап</w:t>
      </w:r>
    </w:p>
    <w:p w14:paraId="5DA87778">
      <w:pPr>
        <w:pStyle w:val="219"/>
        <w:ind w:right="-144"/>
        <w:jc w:val="center"/>
        <w:rPr>
          <w:sz w:val="28"/>
          <w:szCs w:val="28"/>
        </w:rPr>
      </w:pPr>
    </w:p>
    <w:p w14:paraId="7B33DB9F">
      <w:pPr>
        <w:pStyle w:val="219"/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(№ КП НСО 01-0195)</w:t>
      </w:r>
    </w:p>
    <w:p w14:paraId="0937F110">
      <w:pPr>
        <w:ind w:right="-144"/>
        <w:jc w:val="center"/>
        <w:rPr>
          <w:bCs/>
          <w:sz w:val="28"/>
          <w:szCs w:val="28"/>
        </w:rPr>
      </w:pPr>
    </w:p>
    <w:p w14:paraId="4BAE99DF">
      <w:pPr>
        <w:ind w:right="-144"/>
        <w:jc w:val="center"/>
        <w:rPr>
          <w:bCs/>
          <w:sz w:val="28"/>
          <w:szCs w:val="28"/>
        </w:rPr>
      </w:pPr>
    </w:p>
    <w:p w14:paraId="473B2505">
      <w:pPr>
        <w:ind w:right="-144"/>
        <w:jc w:val="center"/>
        <w:rPr>
          <w:bCs/>
          <w:sz w:val="28"/>
          <w:szCs w:val="28"/>
        </w:rPr>
      </w:pPr>
    </w:p>
    <w:p w14:paraId="5FFCE9B7">
      <w:pPr>
        <w:ind w:right="-144"/>
        <w:jc w:val="center"/>
        <w:rPr>
          <w:bCs/>
          <w:sz w:val="28"/>
          <w:szCs w:val="28"/>
        </w:rPr>
      </w:pPr>
    </w:p>
    <w:p w14:paraId="5BDFE00E">
      <w:pPr>
        <w:ind w:right="-144"/>
        <w:jc w:val="center"/>
        <w:rPr>
          <w:bCs/>
          <w:sz w:val="28"/>
          <w:szCs w:val="28"/>
        </w:rPr>
      </w:pPr>
    </w:p>
    <w:p w14:paraId="543637E6">
      <w:pPr>
        <w:ind w:right="-144"/>
        <w:jc w:val="center"/>
        <w:rPr>
          <w:bCs/>
          <w:sz w:val="28"/>
          <w:szCs w:val="28"/>
        </w:rPr>
      </w:pPr>
    </w:p>
    <w:p w14:paraId="2799E09A">
      <w:pPr>
        <w:ind w:right="-144"/>
        <w:jc w:val="center"/>
        <w:rPr>
          <w:bCs/>
          <w:sz w:val="28"/>
          <w:szCs w:val="28"/>
        </w:rPr>
      </w:pPr>
    </w:p>
    <w:p w14:paraId="2E96DC47">
      <w:pPr>
        <w:ind w:right="-144"/>
        <w:jc w:val="center"/>
        <w:rPr>
          <w:bCs/>
          <w:sz w:val="28"/>
          <w:szCs w:val="28"/>
        </w:rPr>
      </w:pPr>
    </w:p>
    <w:p w14:paraId="3D6531E7">
      <w:pPr>
        <w:ind w:right="-144"/>
        <w:jc w:val="center"/>
        <w:rPr>
          <w:sz w:val="28"/>
          <w:szCs w:val="28"/>
        </w:rPr>
      </w:pPr>
    </w:p>
    <w:p w14:paraId="7A2B5DB5">
      <w:pPr>
        <w:ind w:right="-144"/>
        <w:jc w:val="center"/>
        <w:rPr>
          <w:sz w:val="28"/>
          <w:szCs w:val="28"/>
        </w:rPr>
      </w:pPr>
    </w:p>
    <w:p w14:paraId="6434D9CF">
      <w:pPr>
        <w:ind w:right="-144"/>
        <w:jc w:val="center"/>
        <w:rPr>
          <w:bCs/>
          <w:sz w:val="28"/>
          <w:szCs w:val="28"/>
        </w:rPr>
      </w:pPr>
    </w:p>
    <w:p w14:paraId="1AEEBE6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Новосибирск, 2026 г.</w:t>
      </w:r>
      <w:r>
        <w:rPr>
          <w:bCs/>
          <w:sz w:val="28"/>
          <w:szCs w:val="28"/>
        </w:rPr>
        <w:br w:type="textWrapping"/>
      </w:r>
      <w:r>
        <w:rPr>
          <w:bCs/>
          <w:sz w:val="28"/>
          <w:szCs w:val="28"/>
        </w:rPr>
        <w:br w:type="page" w:clear="all"/>
      </w:r>
      <w:r>
        <w:rPr>
          <w:b/>
          <w:sz w:val="28"/>
          <w:szCs w:val="28"/>
        </w:rPr>
        <w:t>1. Общие положения</w:t>
      </w:r>
    </w:p>
    <w:p w14:paraId="21435189">
      <w:pPr>
        <w:pStyle w:val="210"/>
        <w:ind w:left="567" w:right="-144" w:firstLine="720"/>
        <w:jc w:val="both"/>
        <w:rPr>
          <w:b/>
          <w:sz w:val="28"/>
          <w:szCs w:val="28"/>
        </w:rPr>
      </w:pPr>
    </w:p>
    <w:p w14:paraId="01E66BC6">
      <w:pPr>
        <w:pStyle w:val="219"/>
        <w:ind w:right="-144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Региональный фестиваль по шахматам «Детская шахматная лига», 3 этап </w:t>
      </w:r>
      <w:r>
        <w:rPr>
          <w:sz w:val="28"/>
          <w:szCs w:val="28"/>
        </w:rPr>
        <w:t>(далее – Соревнования) проводится в г. Новосибирске в соответствии с частью I Календарного плана официальных физкультурных мероприятий и спортивных мероприятий Новосибирской области, в том числе включающего в себя физкультурные мероприятия и спортивные мероприятия по реализации комплекса ГТО на 2026 год,</w:t>
      </w:r>
      <w:r>
        <w:rPr>
          <w:bCs/>
          <w:sz w:val="28"/>
          <w:szCs w:val="28"/>
        </w:rPr>
        <w:t xml:space="preserve"> утвержденным приказом министерства физической культуры и спорта Новосибирской области от 26 декабря 2025 года № 747, </w:t>
      </w:r>
      <w:r>
        <w:rPr>
          <w:sz w:val="28"/>
          <w:szCs w:val="28"/>
        </w:rPr>
        <w:t>с правилами вида спорта «Шахматы», утвержденными приказом Министерства спорта РФ от 29 декабря 2020 г. № 988 (с изменениями, внесенными приказами Министерства спорта Российской Федерации от 10 апреля 2023 г. № 243, от 11 мая 2023 г. № 315) и не противоречащим правилам ФИДЕ.</w:t>
      </w:r>
    </w:p>
    <w:p w14:paraId="0C41BA11">
      <w:pPr>
        <w:pStyle w:val="219"/>
        <w:ind w:right="-144" w:firstLine="720"/>
        <w:jc w:val="both"/>
        <w:rPr>
          <w:rStyle w:val="222"/>
          <w:sz w:val="28"/>
          <w:szCs w:val="28"/>
        </w:rPr>
      </w:pPr>
      <w:r>
        <w:rPr>
          <w:rStyle w:val="222"/>
          <w:b/>
          <w:bCs/>
          <w:sz w:val="28"/>
          <w:szCs w:val="28"/>
        </w:rPr>
        <w:t>Целями Соревнований</w:t>
      </w:r>
      <w:r>
        <w:rPr>
          <w:rStyle w:val="222"/>
          <w:sz w:val="28"/>
          <w:szCs w:val="28"/>
        </w:rPr>
        <w:t xml:space="preserve"> являются:</w:t>
      </w:r>
    </w:p>
    <w:p w14:paraId="74E48BC3">
      <w:pPr>
        <w:pStyle w:val="219"/>
        <w:ind w:right="-144"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– пропаганда здорового образа жизни;</w:t>
      </w:r>
    </w:p>
    <w:p w14:paraId="3129B6AB">
      <w:pPr>
        <w:pStyle w:val="219"/>
        <w:ind w:right="-144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– духовное, патриотическое воспитание подрастающего поколения; </w:t>
      </w:r>
    </w:p>
    <w:p w14:paraId="69791015">
      <w:pPr>
        <w:pStyle w:val="219"/>
        <w:ind w:right="-144" w:firstLine="720"/>
        <w:jc w:val="both"/>
        <w:rPr>
          <w:rStyle w:val="222"/>
          <w:sz w:val="28"/>
          <w:szCs w:val="28"/>
        </w:rPr>
      </w:pPr>
      <w:r>
        <w:rPr>
          <w:sz w:val="28"/>
          <w:szCs w:val="28"/>
        </w:rPr>
        <w:t>– пропаганда шахмат среди детей</w:t>
      </w:r>
      <w:r>
        <w:rPr>
          <w:rStyle w:val="222"/>
          <w:sz w:val="28"/>
          <w:szCs w:val="28"/>
        </w:rPr>
        <w:t>.</w:t>
      </w:r>
    </w:p>
    <w:p w14:paraId="3870F566">
      <w:pPr>
        <w:ind w:right="-144"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Основными задачами Соревнований</w:t>
      </w:r>
      <w:r>
        <w:rPr>
          <w:sz w:val="28"/>
          <w:szCs w:val="28"/>
        </w:rPr>
        <w:t xml:space="preserve"> являются:</w:t>
      </w:r>
    </w:p>
    <w:p w14:paraId="69DCCD0C">
      <w:pPr>
        <w:ind w:firstLine="720"/>
        <w:jc w:val="both"/>
        <w:rPr>
          <w:sz w:val="28"/>
          <w:szCs w:val="28"/>
        </w:rPr>
      </w:pPr>
      <w:r>
        <w:rPr>
          <w:rStyle w:val="222"/>
          <w:sz w:val="28"/>
          <w:szCs w:val="28"/>
        </w:rPr>
        <w:t>–</w:t>
      </w:r>
      <w:r>
        <w:rPr>
          <w:sz w:val="28"/>
          <w:szCs w:val="28"/>
        </w:rPr>
        <w:t xml:space="preserve"> выявление одаренных юных шахматистов, повышение их мастерства;</w:t>
      </w:r>
    </w:p>
    <w:p w14:paraId="22AE01E8">
      <w:pPr>
        <w:ind w:firstLine="720"/>
        <w:jc w:val="both"/>
        <w:rPr>
          <w:rStyle w:val="22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– </w:t>
      </w:r>
      <w:r>
        <w:rPr>
          <w:rStyle w:val="222"/>
          <w:sz w:val="28"/>
          <w:szCs w:val="28"/>
        </w:rPr>
        <w:t>содействие интеллектуальному развитию детей, привлечение к регулярным занятиям шахматами;</w:t>
      </w:r>
    </w:p>
    <w:p w14:paraId="09DC170D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Style w:val="222"/>
          <w:sz w:val="28"/>
          <w:szCs w:val="28"/>
        </w:rPr>
        <w:t>– определение победителей и призеров Соревнований</w:t>
      </w:r>
      <w:r>
        <w:rPr>
          <w:rFonts w:eastAsia="Calibri"/>
          <w:sz w:val="28"/>
          <w:szCs w:val="28"/>
          <w:lang w:eastAsia="en-US"/>
        </w:rPr>
        <w:t>.</w:t>
      </w:r>
    </w:p>
    <w:p w14:paraId="0449CF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26.2 Федерального закона от 04.12.2007 № 329-ФЗ «О физической культуре и спорте в Российской Федерации» запрещается:</w:t>
      </w:r>
    </w:p>
    <w:p w14:paraId="7702670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противоправное влияние на результаты официального спортивного соревнования (манипулирование официальными спортивными соревнованиями);</w:t>
      </w:r>
    </w:p>
    <w:p w14:paraId="368C434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участие в азартных играх в букмекерских конторах и тотализаторах путем заключения пари на официальные спортивные соревнования (для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для тренеров - на официальные спортивные соревнования по виду или видам спорта, по которым они проводят учебно-тренировочные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соревнованиях, 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агентов - на официальные спортивные соревнования по виду спорта, в котором они осуществляют свою деятельность);</w:t>
      </w:r>
    </w:p>
    <w:p w14:paraId="3B87E7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Организатор, а также иные лица, участвующие в проведении соревнования принимают меры по предотвращению конфликта интересов в сфере физической культуры и спорта.</w:t>
      </w:r>
    </w:p>
    <w:p w14:paraId="7593A3BD">
      <w:pPr>
        <w:ind w:left="567" w:right="-144" w:firstLine="720"/>
        <w:jc w:val="both"/>
        <w:rPr>
          <w:sz w:val="28"/>
          <w:szCs w:val="28"/>
        </w:rPr>
      </w:pPr>
    </w:p>
    <w:p w14:paraId="337CEE14">
      <w:pPr>
        <w:pStyle w:val="21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 Место и сроки проведения </w:t>
      </w:r>
    </w:p>
    <w:p w14:paraId="129A293A">
      <w:pPr>
        <w:ind w:right="-144" w:firstLine="720"/>
        <w:jc w:val="center"/>
        <w:rPr>
          <w:b/>
          <w:sz w:val="28"/>
          <w:szCs w:val="28"/>
        </w:rPr>
      </w:pPr>
    </w:p>
    <w:p w14:paraId="5568DADF">
      <w:pPr>
        <w:ind w:right="-144" w:firstLine="567"/>
        <w:jc w:val="both"/>
        <w:rPr>
          <w:sz w:val="28"/>
        </w:rPr>
      </w:pPr>
      <w:r>
        <w:rPr>
          <w:sz w:val="28"/>
        </w:rPr>
        <w:t>Соревнования проводятся по адресу: г. Новосибирск, ул. Мичурина, д. 10 (здание «Западная трибуна» ОАО «Стадион «Спартак», большой шахматный зал).</w:t>
      </w:r>
    </w:p>
    <w:p w14:paraId="6F0FC88E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Сроки проведения Соревнований: </w:t>
      </w:r>
      <w:r>
        <w:rPr>
          <w:b/>
          <w:bCs/>
          <w:sz w:val="28"/>
        </w:rPr>
        <w:t>16 – 19 октября 2026 года</w:t>
      </w:r>
      <w:r>
        <w:rPr>
          <w:sz w:val="28"/>
        </w:rPr>
        <w:t xml:space="preserve"> (16 октября – день приезда, 19 октября – день отъезда).</w:t>
      </w:r>
    </w:p>
    <w:p w14:paraId="3E25FB90">
      <w:pPr>
        <w:pStyle w:val="219"/>
        <w:ind w:right="-144" w:firstLine="720"/>
        <w:jc w:val="both"/>
        <w:rPr>
          <w:sz w:val="28"/>
          <w:szCs w:val="28"/>
        </w:rPr>
      </w:pPr>
    </w:p>
    <w:p w14:paraId="4F65D332">
      <w:pPr>
        <w:pStyle w:val="21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Организаторы мероприятия</w:t>
      </w:r>
    </w:p>
    <w:p w14:paraId="282FCC31">
      <w:pPr>
        <w:pStyle w:val="219"/>
        <w:ind w:right="-144" w:firstLine="720"/>
        <w:jc w:val="center"/>
        <w:rPr>
          <w:b/>
          <w:sz w:val="28"/>
          <w:szCs w:val="28"/>
        </w:rPr>
      </w:pPr>
    </w:p>
    <w:p w14:paraId="706897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Соревнований – Региональная общественная организация по развитию и популяризации шахмат «Федерация Шахмат Новосибирской области» (далее – РОО «ФШ НСО»).</w:t>
      </w:r>
    </w:p>
    <w:p w14:paraId="568B40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РОО «ФШ НСО» уведомляет соответствующий территориальный орган МВД о проведении Соревнований, а также согласовывает план мероприятий по обеспечению общественного порядка и общественной безопасности при проведении Соревнований.</w:t>
      </w:r>
    </w:p>
    <w:p w14:paraId="3AC7BB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РОО «ФШ НСО» информирует Управление Роспотребнадзора по Новосибирской области о проведении Соревнований.</w:t>
      </w:r>
    </w:p>
    <w:p w14:paraId="328A6F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при поддержке министерства физической культуры и спорта Новосибирской области, государственного автономного учреждения дополнительного образования Новосибирской области «Спортивная школа по шахматам» (далее – ГАУ ДО НСО «СШ по шахматам»). </w:t>
      </w:r>
    </w:p>
    <w:p w14:paraId="121658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физической культуры и спорта Новосибирской области осуществляет информационную поддержку Соревнований. </w:t>
      </w:r>
    </w:p>
    <w:p w14:paraId="09B2A009">
      <w:pPr>
        <w:ind w:right="-144" w:firstLine="567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ГАУ</w:t>
      </w:r>
      <w:r>
        <w:rPr>
          <w:sz w:val="28"/>
          <w:szCs w:val="28"/>
        </w:rPr>
        <w:t xml:space="preserve"> ДО </w:t>
      </w:r>
      <w:r>
        <w:rPr>
          <w:rFonts w:hint="eastAsia"/>
          <w:sz w:val="28"/>
          <w:szCs w:val="28"/>
        </w:rPr>
        <w:t>НСО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«СШ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шахматам»</w:t>
      </w:r>
      <w:r>
        <w:rPr>
          <w:sz w:val="28"/>
          <w:szCs w:val="28"/>
        </w:rPr>
        <w:t xml:space="preserve"> </w:t>
      </w:r>
      <w:bookmarkStart w:id="0" w:name="_Hlk70499090"/>
      <w:r>
        <w:rPr>
          <w:rFonts w:hint="eastAsia"/>
          <w:sz w:val="28"/>
          <w:szCs w:val="28"/>
        </w:rPr>
        <w:t>предоставляет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помещение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Соревнований</w:t>
      </w:r>
      <w:r>
        <w:rPr>
          <w:sz w:val="28"/>
          <w:szCs w:val="28"/>
        </w:rPr>
        <w:t>.</w:t>
      </w:r>
      <w:bookmarkEnd w:id="0"/>
    </w:p>
    <w:p w14:paraId="6E18F077">
      <w:pPr>
        <w:pBdr>
          <w:left w:val="none" w:color="000000" w:sz="0" w:space="2"/>
        </w:pBd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Непосредственное проведение Соревнований возлагается на судейскую коллегию. Главный судья Соревнований – Цветкова Людмила Геннадьевна, спортивный судья всероссийской категории.</w:t>
      </w:r>
    </w:p>
    <w:p w14:paraId="2A1C995C">
      <w:pPr>
        <w:pBdr>
          <w:left w:val="none" w:color="000000" w:sz="0" w:space="2"/>
        </w:pBd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РОО «ФШ НСО» совместно с ГСК осуществляют действия в отношении персональных данных участников вышеуказанного мероприятия согласно Федеральному закону № 152-ФЗ от 27.07.2006 «О персональных данных».</w:t>
      </w:r>
    </w:p>
    <w:p w14:paraId="3A411D91">
      <w:pPr>
        <w:ind w:firstLine="72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Организаторы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обеспечивают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размещение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ходе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турнира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местных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средствах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массовой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и</w:t>
      </w:r>
      <w:r>
        <w:rPr>
          <w:sz w:val="28"/>
          <w:szCs w:val="28"/>
        </w:rPr>
        <w:t xml:space="preserve"> на chess-results.com.</w:t>
      </w:r>
    </w:p>
    <w:p w14:paraId="63CA7ED4">
      <w:pPr>
        <w:pBdr>
          <w:left w:val="none" w:color="000000" w:sz="0" w:space="2"/>
        </w:pBdr>
        <w:ind w:right="-144" w:firstLine="720"/>
        <w:jc w:val="both"/>
        <w:rPr>
          <w:sz w:val="28"/>
          <w:szCs w:val="28"/>
        </w:rPr>
      </w:pPr>
    </w:p>
    <w:p w14:paraId="21E33318">
      <w:pPr>
        <w:pBdr>
          <w:left w:val="none" w:color="000000" w:sz="0" w:space="2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  Требования к участникам и условия их допуска</w:t>
      </w:r>
    </w:p>
    <w:p w14:paraId="0510BF68">
      <w:pPr>
        <w:pBdr>
          <w:left w:val="none" w:color="000000" w:sz="0" w:space="2"/>
        </w:pBdr>
        <w:ind w:right="-144" w:firstLine="720"/>
        <w:jc w:val="center"/>
        <w:rPr>
          <w:b/>
          <w:sz w:val="28"/>
          <w:szCs w:val="28"/>
        </w:rPr>
      </w:pPr>
    </w:p>
    <w:p w14:paraId="732022A6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bookmarkStart w:id="1" w:name="_Hlk117868616"/>
      <w:r>
        <w:rPr>
          <w:rFonts w:ascii="Times New Roman" w:hAnsi="Times New Roman"/>
          <w:b w:val="0"/>
          <w:i w:val="0"/>
          <w:sz w:val="28"/>
          <w:szCs w:val="28"/>
        </w:rPr>
        <w:t>К участию в Соревнованиях допускаются:</w:t>
      </w:r>
    </w:p>
    <w:p w14:paraId="34CC2A7F">
      <w:pPr>
        <w:pStyle w:val="37"/>
        <w:ind w:firstLine="720"/>
        <w:jc w:val="both"/>
        <w:rPr>
          <w:rFonts w:ascii="Times New Roman" w:hAnsi="Times New Roman"/>
          <w:bCs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- </w:t>
      </w:r>
      <w:r>
        <w:rPr>
          <w:rFonts w:ascii="Times New Roman" w:hAnsi="Times New Roman"/>
          <w:bCs/>
          <w:i w:val="0"/>
          <w:sz w:val="28"/>
          <w:szCs w:val="28"/>
        </w:rPr>
        <w:t>мальчики и девочки 2020 г. р. и младше (Турнир А);</w:t>
      </w:r>
    </w:p>
    <w:p w14:paraId="65800CEA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bCs/>
          <w:i w:val="0"/>
          <w:sz w:val="28"/>
          <w:szCs w:val="28"/>
        </w:rPr>
        <w:t>-</w:t>
      </w:r>
      <w:r>
        <w:rPr>
          <w:rFonts w:ascii="Times New Roman" w:hAnsi="Times New Roman"/>
          <w:bCs/>
          <w:i w:val="0"/>
          <w:sz w:val="28"/>
          <w:szCs w:val="28"/>
        </w:rPr>
        <w:t xml:space="preserve"> мальчики и девочки 2018 г. р. и младше (Турнир </w:t>
      </w:r>
      <w:r>
        <w:rPr>
          <w:rFonts w:ascii="Times New Roman" w:hAnsi="Times New Roman"/>
          <w:bCs/>
          <w:i w:val="0"/>
          <w:sz w:val="28"/>
          <w:szCs w:val="28"/>
          <w:lang w:val="en-US"/>
        </w:rPr>
        <w:t>B</w:t>
      </w:r>
      <w:r>
        <w:rPr>
          <w:rFonts w:ascii="Times New Roman" w:hAnsi="Times New Roman"/>
          <w:bCs/>
          <w:i w:val="0"/>
          <w:sz w:val="28"/>
          <w:szCs w:val="28"/>
        </w:rPr>
        <w:t>);</w:t>
      </w:r>
    </w:p>
    <w:p w14:paraId="0E2EE712">
      <w:pPr>
        <w:pStyle w:val="37"/>
        <w:ind w:firstLine="720"/>
        <w:jc w:val="both"/>
        <w:rPr>
          <w:rFonts w:ascii="Times New Roman" w:hAnsi="Times New Roman"/>
          <w:bCs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- </w:t>
      </w:r>
      <w:r>
        <w:rPr>
          <w:rFonts w:ascii="Times New Roman" w:hAnsi="Times New Roman"/>
          <w:bCs/>
          <w:i w:val="0"/>
          <w:sz w:val="28"/>
          <w:szCs w:val="28"/>
        </w:rPr>
        <w:t xml:space="preserve">мальчики и девочки 2016 г. р. и младше (Турнир </w:t>
      </w:r>
      <w:r>
        <w:rPr>
          <w:rFonts w:ascii="Times New Roman" w:hAnsi="Times New Roman"/>
          <w:bCs/>
          <w:i w:val="0"/>
          <w:sz w:val="28"/>
          <w:szCs w:val="28"/>
          <w:lang w:val="en-US"/>
        </w:rPr>
        <w:t>C</w:t>
      </w:r>
      <w:r>
        <w:rPr>
          <w:rFonts w:ascii="Times New Roman" w:hAnsi="Times New Roman"/>
          <w:bCs/>
          <w:i w:val="0"/>
          <w:sz w:val="28"/>
          <w:szCs w:val="28"/>
        </w:rPr>
        <w:t>);</w:t>
      </w:r>
    </w:p>
    <w:p w14:paraId="1E584A7D">
      <w:pPr>
        <w:pStyle w:val="37"/>
        <w:ind w:firstLine="720"/>
        <w:jc w:val="both"/>
        <w:rPr>
          <w:rFonts w:ascii="Times New Roman" w:hAnsi="Times New Roman"/>
          <w:bCs/>
          <w:i w:val="0"/>
          <w:sz w:val="28"/>
          <w:szCs w:val="28"/>
        </w:rPr>
      </w:pPr>
      <w:r>
        <w:rPr>
          <w:rFonts w:ascii="Times New Roman" w:hAnsi="Times New Roman"/>
          <w:bCs/>
          <w:i w:val="0"/>
          <w:sz w:val="28"/>
          <w:szCs w:val="28"/>
        </w:rPr>
        <w:t xml:space="preserve">- юноши и девушки 2008 – 2015 гг.р. (Турнир </w:t>
      </w:r>
      <w:r>
        <w:rPr>
          <w:rFonts w:ascii="Times New Roman" w:hAnsi="Times New Roman"/>
          <w:bCs/>
          <w:i w:val="0"/>
          <w:sz w:val="28"/>
          <w:szCs w:val="28"/>
          <w:lang w:val="en-US"/>
        </w:rPr>
        <w:t>D</w:t>
      </w:r>
      <w:r>
        <w:rPr>
          <w:rFonts w:ascii="Times New Roman" w:hAnsi="Times New Roman"/>
          <w:bCs/>
          <w:i w:val="0"/>
          <w:sz w:val="28"/>
          <w:szCs w:val="28"/>
        </w:rPr>
        <w:t>);</w:t>
      </w:r>
    </w:p>
    <w:p w14:paraId="756ED13F">
      <w:pPr>
        <w:pStyle w:val="37"/>
        <w:ind w:firstLine="720"/>
        <w:jc w:val="both"/>
        <w:rPr>
          <w:rFonts w:ascii="Times New Roman" w:hAnsi="Times New Roman"/>
          <w:bCs/>
          <w:i w:val="0"/>
          <w:sz w:val="28"/>
          <w:szCs w:val="28"/>
        </w:rPr>
      </w:pPr>
      <w:r>
        <w:rPr>
          <w:rFonts w:ascii="Times New Roman" w:hAnsi="Times New Roman"/>
          <w:bCs/>
          <w:i w:val="0"/>
          <w:sz w:val="28"/>
          <w:szCs w:val="28"/>
        </w:rPr>
        <w:t>- мужчины и женщины 2007 г.р. и старше (Турнир D).</w:t>
      </w:r>
    </w:p>
    <w:p w14:paraId="7C3B14CD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Команда в турнире «</w:t>
      </w:r>
      <w:r>
        <w:rPr>
          <w:rFonts w:ascii="Times New Roman" w:hAnsi="Times New Roman"/>
          <w:b w:val="0"/>
          <w:i w:val="0"/>
          <w:sz w:val="28"/>
          <w:szCs w:val="28"/>
          <w:lang w:val="en-US"/>
        </w:rPr>
        <w:t>D</w:t>
      </w:r>
      <w:r>
        <w:rPr>
          <w:rFonts w:ascii="Times New Roman" w:hAnsi="Times New Roman"/>
          <w:b w:val="0"/>
          <w:i w:val="0"/>
          <w:sz w:val="28"/>
          <w:szCs w:val="28"/>
        </w:rPr>
        <w:t>» должна состоять из юноши, девушки (2008-2015 г.р.) и мужчины/женщины (2007 г.р. и старше). Состав команды – 3 человека, капитаном команды является юноша или девушка. Допускается участие мальчиков и девочек 2016-2017 гг.р. на досках юношей и девушек.</w:t>
      </w:r>
    </w:p>
    <w:p w14:paraId="2B34FB1B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Участие в турнире «</w:t>
      </w:r>
      <w:r>
        <w:rPr>
          <w:rFonts w:ascii="Times New Roman" w:hAnsi="Times New Roman"/>
          <w:b w:val="0"/>
          <w:i w:val="0"/>
          <w:sz w:val="28"/>
          <w:szCs w:val="28"/>
          <w:lang w:val="en-US"/>
        </w:rPr>
        <w:t>D</w:t>
      </w:r>
      <w:r>
        <w:rPr>
          <w:rFonts w:ascii="Times New Roman" w:hAnsi="Times New Roman"/>
          <w:b w:val="0"/>
          <w:i w:val="0"/>
          <w:sz w:val="28"/>
          <w:szCs w:val="28"/>
        </w:rPr>
        <w:t>» допускается при наличии игроков хотя бы на 2-х досках. Наличие запасных игроков не предусмотрено. Допускается участие девушек на досках юношей.</w:t>
      </w:r>
      <w:bookmarkEnd w:id="1"/>
    </w:p>
    <w:p w14:paraId="222334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допуске принимается комиссией по допуску, назначаемой РОО «ФШ НСО». </w:t>
      </w:r>
      <w:r>
        <w:rPr>
          <w:rFonts w:hint="eastAsia"/>
          <w:sz w:val="28"/>
          <w:szCs w:val="28"/>
        </w:rPr>
        <w:t>Председатель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–</w:t>
      </w:r>
      <w:r>
        <w:rPr>
          <w:sz w:val="28"/>
          <w:szCs w:val="28"/>
        </w:rPr>
        <w:t xml:space="preserve"> Н.М. Воробьева. </w:t>
      </w:r>
    </w:p>
    <w:p w14:paraId="4561DC0C">
      <w:pPr>
        <w:ind w:firstLine="720"/>
        <w:jc w:val="both"/>
        <w:rPr>
          <w:sz w:val="28"/>
          <w:szCs w:val="28"/>
        </w:rPr>
      </w:pPr>
      <w:bookmarkStart w:id="2" w:name="_Hlk117868628"/>
      <w:r>
        <w:rPr>
          <w:sz w:val="28"/>
          <w:szCs w:val="28"/>
        </w:rPr>
        <w:t>Поведение спортсменов регламентируется в соответствии с Положением «О спортивных санкциях в виде спорта «Шахматы», утвержденным решением Наблюдательного Совета Общероссийской общественной организации «Российская шахматная федерация», протокол № 6-12.2019, от 07.12.2019 г.</w:t>
      </w:r>
    </w:p>
    <w:p w14:paraId="4627B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Медицинским заключением по допуску участников к Соревнованиям является справка с отметкой «Допущен», с подписью врача по спортивной медицине и заверенной личной печатью, при наличии подписи с расшифровкой Ф.И.О. врача в конце заявки, заверенной печатью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организации, отвечающей вышеуказанным требованиям). </w:t>
      </w:r>
    </w:p>
    <w:p w14:paraId="64A533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требований законодательства Российской Федерации в сфере физической культуры и спорта, включая Приказ Министерства спорта РФ от 29 апреля 2015 г. № 464 «Об утверждении Порядка ведения системы учета данных о спортсменах, занимающихся видом спорта, развиваемым соответствующей общероссийской спортивной федерацией, и выдачи документов, удостоверяющих принадлежность к физкультурно-спортивной или иной организации и спортивную квалификацию спортсменов», Устава и иных руководящих документов ФИДЕ, организатор спортивного Соревнования Общественная организация РОО «ФШ НСО» осуществляет сбор и обработку персональных данных его участников.</w:t>
      </w:r>
    </w:p>
    <w:p w14:paraId="032F1DB6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Размер заявочного взноса:</w:t>
      </w:r>
    </w:p>
    <w:p w14:paraId="6D06475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- 500 рублей для участников турниров «А», «В» и «С»;</w:t>
      </w:r>
    </w:p>
    <w:p w14:paraId="4EE6C9C8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- 600 рублей для команд в турнире «</w:t>
      </w:r>
      <w:r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</w:rPr>
        <w:t>».</w:t>
      </w:r>
    </w:p>
    <w:p w14:paraId="261DAE5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Оплата производится электронным способом на сайте </w:t>
      </w:r>
      <w:r>
        <w:rPr>
          <w:color w:val="000000"/>
          <w:sz w:val="28"/>
          <w:szCs w:val="28"/>
          <w:lang w:val="en-US"/>
        </w:rPr>
        <w:t>novosibirskchess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</w:rPr>
        <w:t xml:space="preserve"> до 18:00 часов 14 октября 2026 г.</w:t>
      </w:r>
      <w:bookmarkEnd w:id="2"/>
    </w:p>
    <w:p w14:paraId="4FC4596D">
      <w:pPr>
        <w:pBdr>
          <w:left w:val="none" w:color="000000" w:sz="0" w:space="2"/>
        </w:pBd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отказа от участия по причинам, не зависящим от организаторов, заявочный взнос не возвращается. </w:t>
      </w:r>
    </w:p>
    <w:p w14:paraId="5F344D3D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Исчерпывающий перечень документов, предъявляемых в комиссию по допуску соревнования, указан в 10 разделе настоящего Положения.</w:t>
      </w:r>
    </w:p>
    <w:p w14:paraId="58D4615B">
      <w:pPr>
        <w:ind w:right="-144" w:firstLine="720"/>
        <w:jc w:val="both"/>
        <w:rPr>
          <w:sz w:val="28"/>
          <w:szCs w:val="28"/>
        </w:rPr>
      </w:pPr>
    </w:p>
    <w:p w14:paraId="0CFB9351">
      <w:pPr>
        <w:ind w:right="-144" w:firstLine="720"/>
        <w:jc w:val="both"/>
        <w:rPr>
          <w:sz w:val="28"/>
          <w:szCs w:val="28"/>
        </w:rPr>
      </w:pPr>
    </w:p>
    <w:p w14:paraId="4606946D">
      <w:pPr>
        <w:pBdr>
          <w:left w:val="none" w:color="000000" w:sz="0" w:space="2"/>
        </w:pBdr>
        <w:ind w:right="-144" w:firstLine="720"/>
        <w:jc w:val="both"/>
        <w:rPr>
          <w:sz w:val="32"/>
          <w:szCs w:val="32"/>
        </w:rPr>
      </w:pPr>
    </w:p>
    <w:p w14:paraId="13E45356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5. Программа физкультурного мероприятия</w:t>
      </w:r>
    </w:p>
    <w:p w14:paraId="0BAB310C">
      <w:pPr>
        <w:ind w:right="-144" w:firstLine="72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15703A90">
      <w:pPr>
        <w:ind w:firstLine="720"/>
        <w:jc w:val="both"/>
        <w:rPr>
          <w:sz w:val="28"/>
          <w:szCs w:val="28"/>
        </w:rPr>
      </w:pPr>
      <w:bookmarkStart w:id="3" w:name="_Hlk117868641"/>
      <w:r>
        <w:rPr>
          <w:b/>
          <w:bCs/>
          <w:sz w:val="28"/>
          <w:szCs w:val="28"/>
        </w:rPr>
        <w:t>16 октября</w:t>
      </w:r>
      <w:r>
        <w:rPr>
          <w:sz w:val="28"/>
          <w:szCs w:val="28"/>
        </w:rPr>
        <w:t xml:space="preserve"> – день приезда</w:t>
      </w:r>
    </w:p>
    <w:p w14:paraId="21262BEA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17 октября: </w:t>
      </w:r>
    </w:p>
    <w:p w14:paraId="45E2444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09:15 – открытие Соревнований (турниры «А» и «В»);</w:t>
      </w:r>
    </w:p>
    <w:p w14:paraId="527D76C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09:30 – 1, 2, 3 туры турнира «А»;</w:t>
      </w:r>
    </w:p>
    <w:p w14:paraId="3E1108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09:30 – 1, 2, 3, 4, 5 туры турнира «В»;</w:t>
      </w:r>
    </w:p>
    <w:p w14:paraId="7F7EB86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13:00 – открытие Соревнований (турнир «С»);</w:t>
      </w:r>
    </w:p>
    <w:p w14:paraId="7A2A8B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13:15 – 1, 2, 3, 4, 5 туры турнира «С»;</w:t>
      </w:r>
    </w:p>
    <w:p w14:paraId="378597B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16:45 – открытие Соревнований (турнир «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»);</w:t>
      </w:r>
    </w:p>
    <w:p w14:paraId="669C682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17:00 – 1, 2, 3, 4, 5 туры турнира «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».</w:t>
      </w:r>
    </w:p>
    <w:p w14:paraId="115C6EA3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 октября:</w:t>
      </w:r>
    </w:p>
    <w:p w14:paraId="098C13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09:30 – 4, 5, 6, 7 туры турнира «А»;</w:t>
      </w:r>
    </w:p>
    <w:p w14:paraId="2E9A24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09:30 – 6, 7, 8, 9 туры турнира «В»;</w:t>
      </w:r>
    </w:p>
    <w:p w14:paraId="38E020B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13:15 – 6, 7, 8, 9 туры турнира «С»;</w:t>
      </w:r>
    </w:p>
    <w:p w14:paraId="0313415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17:00 – 6, 7, 8, 9 туры турнира «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»;</w:t>
      </w:r>
    </w:p>
    <w:p w14:paraId="5D1FE640">
      <w:pPr>
        <w:pBdr>
          <w:left w:val="none" w:color="000000" w:sz="0" w:space="2"/>
        </w:pBd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Награждение победителей и призеров через полчаса после окончания каждого из турниров.</w:t>
      </w:r>
    </w:p>
    <w:p w14:paraId="69E1F5E3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19 октября </w:t>
      </w:r>
      <w:r>
        <w:rPr>
          <w:sz w:val="28"/>
          <w:szCs w:val="28"/>
        </w:rPr>
        <w:t>– день отъезда</w:t>
      </w:r>
      <w:bookmarkEnd w:id="3"/>
    </w:p>
    <w:p w14:paraId="654A8D6C">
      <w:pPr>
        <w:pBdr>
          <w:left w:val="none" w:color="000000" w:sz="0" w:space="2"/>
        </w:pBdr>
        <w:ind w:right="-144" w:firstLine="720"/>
        <w:jc w:val="both"/>
        <w:rPr>
          <w:sz w:val="28"/>
          <w:szCs w:val="28"/>
        </w:rPr>
      </w:pPr>
    </w:p>
    <w:p w14:paraId="40228977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Порядок проведения Соревнований</w:t>
      </w:r>
    </w:p>
    <w:p w14:paraId="7EBB037A">
      <w:pPr>
        <w:ind w:right="-144" w:firstLine="72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7F9A043F">
      <w:pPr>
        <w:pStyle w:val="219"/>
        <w:ind w:firstLine="720"/>
        <w:jc w:val="both"/>
        <w:rPr>
          <w:rStyle w:val="222"/>
          <w:b/>
          <w:bCs/>
          <w:sz w:val="28"/>
          <w:szCs w:val="28"/>
        </w:rPr>
      </w:pPr>
      <w:bookmarkStart w:id="4" w:name="_Hlk117868656"/>
      <w:bookmarkStart w:id="5" w:name="_Hlk68703995"/>
      <w:r>
        <w:rPr>
          <w:rStyle w:val="222"/>
          <w:sz w:val="28"/>
          <w:szCs w:val="28"/>
        </w:rPr>
        <w:t xml:space="preserve">Соревнования в турнирах </w:t>
      </w:r>
      <w:r>
        <w:rPr>
          <w:sz w:val="28"/>
          <w:szCs w:val="28"/>
        </w:rPr>
        <w:t>«А», «В» и «С»</w:t>
      </w:r>
      <w:r>
        <w:rPr>
          <w:rStyle w:val="222"/>
          <w:sz w:val="28"/>
          <w:szCs w:val="28"/>
        </w:rPr>
        <w:t xml:space="preserve"> проводятся в дисциплине </w:t>
      </w:r>
      <w:r>
        <w:rPr>
          <w:rStyle w:val="222"/>
          <w:b/>
          <w:bCs/>
          <w:sz w:val="28"/>
          <w:szCs w:val="28"/>
        </w:rPr>
        <w:t xml:space="preserve">«быстрые шахматы». </w:t>
      </w:r>
      <w:r>
        <w:rPr>
          <w:rStyle w:val="222"/>
          <w:sz w:val="28"/>
          <w:szCs w:val="28"/>
        </w:rPr>
        <w:t xml:space="preserve">Вид Соревнований – </w:t>
      </w:r>
      <w:r>
        <w:rPr>
          <w:rStyle w:val="222"/>
          <w:b/>
          <w:bCs/>
          <w:sz w:val="28"/>
          <w:szCs w:val="28"/>
        </w:rPr>
        <w:t>лично-командный.</w:t>
      </w:r>
    </w:p>
    <w:p w14:paraId="2600EB0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Турнир </w:t>
      </w:r>
      <w:r>
        <w:rPr>
          <w:bCs/>
          <w:color w:val="000000"/>
          <w:sz w:val="28"/>
          <w:szCs w:val="28"/>
        </w:rPr>
        <w:t>«А»</w:t>
      </w:r>
      <w:r>
        <w:rPr>
          <w:sz w:val="28"/>
          <w:szCs w:val="28"/>
        </w:rPr>
        <w:t xml:space="preserve"> проводится по швейцарской системе в 7 туров, турниры </w:t>
      </w:r>
      <w:r>
        <w:rPr>
          <w:bCs/>
          <w:color w:val="000000"/>
          <w:sz w:val="28"/>
          <w:szCs w:val="28"/>
        </w:rPr>
        <w:t>«В» и «С»</w:t>
      </w:r>
      <w:r>
        <w:rPr>
          <w:b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проводятся по швейцарской системе в 9 туров.</w:t>
      </w:r>
    </w:p>
    <w:p w14:paraId="2C1473C9">
      <w:pPr>
        <w:pStyle w:val="219"/>
        <w:ind w:firstLine="720"/>
        <w:jc w:val="both"/>
        <w:rPr>
          <w:rStyle w:val="222"/>
          <w:sz w:val="28"/>
          <w:szCs w:val="28"/>
        </w:rPr>
      </w:pPr>
      <w:r>
        <w:rPr>
          <w:rStyle w:val="222"/>
          <w:sz w:val="28"/>
          <w:szCs w:val="28"/>
        </w:rPr>
        <w:t xml:space="preserve">Соревнования в турнире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» </w:t>
      </w:r>
      <w:r>
        <w:rPr>
          <w:rStyle w:val="222"/>
          <w:sz w:val="28"/>
          <w:szCs w:val="28"/>
        </w:rPr>
        <w:t xml:space="preserve">проводятся в дисциплине </w:t>
      </w:r>
      <w:r>
        <w:rPr>
          <w:rStyle w:val="222"/>
          <w:b/>
          <w:bCs/>
          <w:sz w:val="28"/>
          <w:szCs w:val="28"/>
        </w:rPr>
        <w:t xml:space="preserve">«шахматы – командные соревнования». </w:t>
      </w:r>
      <w:r>
        <w:rPr>
          <w:rStyle w:val="222"/>
          <w:sz w:val="28"/>
          <w:szCs w:val="28"/>
        </w:rPr>
        <w:t xml:space="preserve">Вид Соревнований – </w:t>
      </w:r>
      <w:r>
        <w:rPr>
          <w:rStyle w:val="222"/>
          <w:b/>
          <w:bCs/>
          <w:sz w:val="28"/>
          <w:szCs w:val="28"/>
        </w:rPr>
        <w:t>командный.</w:t>
      </w:r>
    </w:p>
    <w:p w14:paraId="23FD98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турниры проходят с обсчетом рейтинга ФШР. </w:t>
      </w:r>
    </w:p>
    <w:p w14:paraId="617461B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Контроль времени: 15 мин на партию каждому частнику в турнирах «А», 10 минут на партию каждому участнику плюс 5 секунд за каждый ход в турнирах «В», «С» и «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».</w:t>
      </w:r>
    </w:p>
    <w:p w14:paraId="74BCB064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</w:t>
      </w:r>
      <w:r>
        <w:rPr>
          <w:color w:val="000000"/>
          <w:spacing w:val="-1"/>
          <w:sz w:val="28"/>
          <w:szCs w:val="28"/>
        </w:rPr>
        <w:t>у</w:t>
      </w:r>
      <w:r>
        <w:rPr>
          <w:color w:val="000000"/>
          <w:sz w:val="28"/>
          <w:szCs w:val="28"/>
        </w:rPr>
        <w:t>стим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е </w:t>
      </w:r>
      <w:r>
        <w:rPr>
          <w:color w:val="000000"/>
          <w:spacing w:val="-2"/>
          <w:sz w:val="28"/>
          <w:szCs w:val="28"/>
        </w:rPr>
        <w:t>в</w:t>
      </w:r>
      <w:r>
        <w:rPr>
          <w:color w:val="000000"/>
          <w:sz w:val="28"/>
          <w:szCs w:val="28"/>
        </w:rPr>
        <w:t>ремя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оп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pacing w:val="-1"/>
          <w:sz w:val="28"/>
          <w:szCs w:val="28"/>
        </w:rPr>
        <w:t>з</w:t>
      </w:r>
      <w:r>
        <w:rPr>
          <w:color w:val="000000"/>
          <w:sz w:val="28"/>
          <w:szCs w:val="28"/>
        </w:rPr>
        <w:t>д</w:t>
      </w:r>
      <w:r>
        <w:rPr>
          <w:color w:val="000000"/>
          <w:spacing w:val="-2"/>
          <w:sz w:val="28"/>
          <w:szCs w:val="28"/>
        </w:rPr>
        <w:t>а</w:t>
      </w:r>
      <w:r>
        <w:rPr>
          <w:color w:val="000000"/>
          <w:sz w:val="28"/>
          <w:szCs w:val="28"/>
        </w:rPr>
        <w:t>ния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</w:t>
      </w:r>
      <w:r>
        <w:rPr>
          <w:color w:val="000000"/>
          <w:spacing w:val="-4"/>
          <w:sz w:val="28"/>
          <w:szCs w:val="28"/>
        </w:rPr>
        <w:t>у</w:t>
      </w:r>
      <w:r>
        <w:rPr>
          <w:color w:val="000000"/>
          <w:sz w:val="28"/>
          <w:szCs w:val="28"/>
        </w:rPr>
        <w:t>р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5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</w:t>
      </w:r>
      <w:r>
        <w:rPr>
          <w:color w:val="000000"/>
          <w:spacing w:val="2"/>
          <w:sz w:val="28"/>
          <w:szCs w:val="28"/>
        </w:rPr>
        <w:t>н</w:t>
      </w:r>
      <w:r>
        <w:rPr>
          <w:color w:val="000000"/>
          <w:spacing w:val="-2"/>
          <w:sz w:val="28"/>
          <w:szCs w:val="28"/>
        </w:rPr>
        <w:t>у</w:t>
      </w:r>
      <w:r>
        <w:rPr>
          <w:color w:val="000000"/>
          <w:sz w:val="28"/>
          <w:szCs w:val="28"/>
        </w:rPr>
        <w:t>т.</w:t>
      </w:r>
    </w:p>
    <w:p w14:paraId="4A34D96D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Соревнования проводятся в четырех турнирах:</w:t>
      </w:r>
    </w:p>
    <w:p w14:paraId="79DE6E00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 турнир «А»</w:t>
      </w:r>
      <w:r>
        <w:rPr>
          <w:color w:val="000000"/>
          <w:sz w:val="28"/>
          <w:szCs w:val="28"/>
        </w:rPr>
        <w:t xml:space="preserve"> (мальчики и девочки 2020 г. р. и младше);</w:t>
      </w:r>
    </w:p>
    <w:p w14:paraId="27512F52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 турнир «В»</w:t>
      </w:r>
      <w:r>
        <w:rPr>
          <w:color w:val="000000"/>
          <w:sz w:val="28"/>
          <w:szCs w:val="28"/>
        </w:rPr>
        <w:t xml:space="preserve"> (мальчики и девочки 2018 г. р. и младше);</w:t>
      </w:r>
    </w:p>
    <w:p w14:paraId="1444E09F">
      <w:pPr>
        <w:ind w:firstLine="7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турнир «С»</w:t>
      </w:r>
      <w:r>
        <w:rPr>
          <w:color w:val="000000"/>
          <w:sz w:val="28"/>
          <w:szCs w:val="28"/>
        </w:rPr>
        <w:t xml:space="preserve"> (мальчики и девочки 2016 г. р. и младше).</w:t>
      </w:r>
    </w:p>
    <w:p w14:paraId="2FC4BDCB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Допускается участие мальчиков и девочек 2019 г. р. и моложе в турнире «В», а также участие мальчиков и девочек 2017 г.р. и моложе в турнире «С».</w:t>
      </w:r>
    </w:p>
    <w:p w14:paraId="0F58A88D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- турнир «</w:t>
      </w:r>
      <w:r>
        <w:rPr>
          <w:rFonts w:ascii="Times New Roman" w:hAnsi="Times New Roman"/>
          <w:i w:val="0"/>
          <w:sz w:val="28"/>
          <w:szCs w:val="28"/>
          <w:lang w:val="en-US"/>
        </w:rPr>
        <w:t>D</w:t>
      </w:r>
      <w:r>
        <w:rPr>
          <w:rFonts w:ascii="Times New Roman" w:hAnsi="Times New Roman"/>
          <w:i w:val="0"/>
          <w:sz w:val="28"/>
          <w:szCs w:val="28"/>
        </w:rPr>
        <w:t>»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(юноши и девушки 2008 г.р. и моложе, мужчины и женщины 2007 г.р. и старше).</w:t>
      </w:r>
    </w:p>
    <w:p w14:paraId="192E40E1">
      <w:pPr>
        <w:pStyle w:val="37"/>
        <w:ind w:firstLine="72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1 доска - юноша, 2 доска - девушка, 3 доска - мужчина/женщина.</w:t>
      </w:r>
    </w:p>
    <w:p w14:paraId="2DBE27EF">
      <w:pPr>
        <w:pStyle w:val="37"/>
        <w:ind w:firstLine="720"/>
        <w:jc w:val="both"/>
        <w:rPr>
          <w:rFonts w:ascii="Times New Roman" w:hAnsi="Times New Roman"/>
          <w:bCs/>
          <w:i w:val="0"/>
          <w:sz w:val="28"/>
          <w:szCs w:val="28"/>
        </w:rPr>
      </w:pPr>
      <w:r>
        <w:rPr>
          <w:rFonts w:ascii="Times New Roman" w:hAnsi="Times New Roman"/>
          <w:bCs/>
          <w:i w:val="0"/>
          <w:sz w:val="28"/>
          <w:szCs w:val="28"/>
        </w:rPr>
        <w:t>Для участия в клубном зачете необходимо зарегистрировать клуб. Клуб может представлять неограниченное количество участников. Исчерпывающий перечень правил клубного зачета перечислен в Приложении № 3.</w:t>
      </w:r>
      <w:bookmarkEnd w:id="4"/>
    </w:p>
    <w:p w14:paraId="00C5098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Личная компьютерная жеребьевка, программа Swiss-Manager. Результаты и жеребьевка – на сайте chess-results.com. </w:t>
      </w:r>
    </w:p>
    <w:p w14:paraId="39B82CC8">
      <w:pPr>
        <w:pStyle w:val="177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 техническом совещании представителей перед началом 1 тура соревнований главный судья назначает апелляционный комитет (далее – АК) в составе 5 человек: председатель, 2 основных члена и 2 запасных. Членами АК не могут быть лица младше 21 года. </w:t>
      </w:r>
      <w:r>
        <w:rPr>
          <w:sz w:val="28"/>
          <w:szCs w:val="28"/>
        </w:rPr>
        <w:t>Ни арбитры, обслуживающие соревнование, ни игроки, участвующие в споре, не могут быть членами апелляционного комитета, рассматривающего данный спор.</w:t>
      </w:r>
    </w:p>
    <w:p w14:paraId="4B0173C4">
      <w:pPr>
        <w:pStyle w:val="177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Протесты на действия участников соревнований, в том числе и судей, повлекшие нарушения Правил, Положения, Регламента, подаются в письменном виде на имя председателя апелляционного комитета с обязательным указанием пунктов Правил, Положения (Регламента), которые протестующий считает нарушенными.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Протесты на жеребьевку не принимаются.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 собирается в очном (присутствие лично) либо заочном (видеоконференция) формате для рассмотрения протеста по существу. Протест должен быть рассмотрен в течение 24 часов с момента подачи, до утверждения технических результатов соревнования. АК выслушивает по протесту обе стороны, но при неявке одной из них, решение может быть принято в ее отсутствие. Решение апелляционного комитета является окончательным.</w:t>
      </w:r>
    </w:p>
    <w:p w14:paraId="2D864BAF">
      <w:pPr>
        <w:pStyle w:val="177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Игрок или зарегистрированный официальный представитель игрока или команды подают протест в течение 15 минут после окончания последней партии каждого тура с внесением залоговой суммы в размере 3000 рублей на счет </w:t>
      </w:r>
      <w:r>
        <w:rPr>
          <w:sz w:val="28"/>
          <w:szCs w:val="28"/>
        </w:rPr>
        <w:t>РОО «ФШ НСО»</w:t>
      </w:r>
      <w:r>
        <w:rPr>
          <w:sz w:val="28"/>
          <w:szCs w:val="28"/>
          <w:shd w:val="clear" w:color="auto" w:fill="FFFFFF"/>
        </w:rPr>
        <w:t xml:space="preserve">. В случае удовлетворения протеста залоговая сумма возвращается заявителю протеста, в противном случае деньги остаются на счете </w:t>
      </w:r>
      <w:r>
        <w:rPr>
          <w:sz w:val="28"/>
          <w:szCs w:val="28"/>
        </w:rPr>
        <w:t>РОО «ФШ НСО»</w:t>
      </w:r>
      <w:r>
        <w:rPr>
          <w:sz w:val="28"/>
          <w:szCs w:val="28"/>
          <w:shd w:val="clear" w:color="auto" w:fill="FFFFFF"/>
        </w:rPr>
        <w:t xml:space="preserve"> для покрытия расходов по проведению соревнования.</w:t>
      </w:r>
      <w:r>
        <w:rPr>
          <w:sz w:val="28"/>
          <w:szCs w:val="28"/>
        </w:rPr>
        <w:t xml:space="preserve"> </w:t>
      </w:r>
      <w:bookmarkEnd w:id="5"/>
    </w:p>
    <w:p w14:paraId="10543AC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Обязательный читинг-контроль на спортивных соревнованиях проводится с соблюдением требований Античитерских правил, утвержденных ФИДЕ при стандартном уровне защиты.</w:t>
      </w:r>
    </w:p>
    <w:p w14:paraId="527201FF">
      <w:pPr>
        <w:spacing w:line="264" w:lineRule="auto"/>
        <w:ind w:right="-144" w:firstLine="720"/>
        <w:jc w:val="both"/>
        <w:rPr>
          <w:sz w:val="28"/>
          <w:szCs w:val="28"/>
        </w:rPr>
      </w:pPr>
    </w:p>
    <w:p w14:paraId="01E827B9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Условия подведения итогов</w:t>
      </w:r>
    </w:p>
    <w:p w14:paraId="5F5E2061">
      <w:pPr>
        <w:ind w:right="-144" w:firstLine="72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5FE1407E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Победители и призеры турниров «А», «В» и «С» определяются по наибольшему количеству набранных очков, при равенстве очков – по дополнительным показателям (в порядке убывания значимости):</w:t>
      </w:r>
    </w:p>
    <w:p w14:paraId="5E910593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по коэффициенту Бухгольца;</w:t>
      </w:r>
    </w:p>
    <w:p w14:paraId="2C38CD4F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– результат личной встречи; </w:t>
      </w:r>
    </w:p>
    <w:p w14:paraId="7440464D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по усеченному коэффициенту Бухгольца без одного худшего результата.</w:t>
      </w:r>
    </w:p>
    <w:p w14:paraId="0D2B71B6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количество побед;</w:t>
      </w:r>
    </w:p>
    <w:p w14:paraId="5C9EED3E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средний российский рейтинг соперников.</w:t>
      </w:r>
    </w:p>
    <w:p w14:paraId="09B59265">
      <w:pPr>
        <w:widowControl w:val="0"/>
        <w:ind w:firstLine="720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Для командного зачета клубов итоги будут подводиться по результатам выступления двух лучших мальчиков и одной девочки.</w:t>
      </w:r>
    </w:p>
    <w:p w14:paraId="72C3E47C">
      <w:pPr>
        <w:pStyle w:val="219"/>
        <w:ind w:firstLine="72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При равенстве очков лучший результат будут определять дополнительные показатели:</w:t>
      </w:r>
    </w:p>
    <w:p w14:paraId="280EE90D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коэффициент Бухгольца;</w:t>
      </w:r>
    </w:p>
    <w:p w14:paraId="61DCA6C2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– результат личной встречи; </w:t>
      </w:r>
    </w:p>
    <w:p w14:paraId="46D3226B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усеченный коэффициент Бухгольца без одного худшего результата;</w:t>
      </w:r>
    </w:p>
    <w:p w14:paraId="068A9BD8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количество побед;</w:t>
      </w:r>
    </w:p>
    <w:p w14:paraId="5B7D8BC3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средний российский рейтинг соперников.</w:t>
      </w:r>
    </w:p>
    <w:p w14:paraId="7BAB1134">
      <w:pPr>
        <w:pStyle w:val="234"/>
        <w:ind w:firstLine="720"/>
      </w:pPr>
      <w:r>
        <w:t>Места</w:t>
      </w:r>
      <w:r>
        <w:rPr>
          <w:spacing w:val="80"/>
        </w:rPr>
        <w:t xml:space="preserve"> </w:t>
      </w:r>
      <w:r>
        <w:t>команд в турнире «</w:t>
      </w:r>
      <w:r>
        <w:rPr>
          <w:lang w:val="en-US"/>
        </w:rPr>
        <w:t>D</w:t>
      </w:r>
      <w:r>
        <w:t>»</w:t>
      </w:r>
      <w:r>
        <w:rPr>
          <w:spacing w:val="80"/>
        </w:rPr>
        <w:t xml:space="preserve"> </w:t>
      </w:r>
      <w:r>
        <w:t>определяются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наибольшей</w:t>
      </w:r>
      <w:r>
        <w:rPr>
          <w:spacing w:val="80"/>
        </w:rPr>
        <w:t xml:space="preserve"> </w:t>
      </w:r>
      <w:r>
        <w:t>сумме</w:t>
      </w:r>
      <w:r>
        <w:rPr>
          <w:spacing w:val="80"/>
        </w:rPr>
        <w:t xml:space="preserve"> </w:t>
      </w:r>
      <w:r>
        <w:t>очков,</w:t>
      </w:r>
      <w:r>
        <w:rPr>
          <w:spacing w:val="80"/>
        </w:rPr>
        <w:t xml:space="preserve"> </w:t>
      </w:r>
      <w:r>
        <w:t>набранных всеми участниками команды во всех матчах.</w:t>
      </w:r>
    </w:p>
    <w:p w14:paraId="38D1531F">
      <w:pPr>
        <w:pStyle w:val="234"/>
        <w:ind w:firstLine="720"/>
      </w:pPr>
      <w:r>
        <w:t>В случае равенства очков у двух или более команд, места определяются по следующим дополнительным показателям (в порядке убывания значимости):</w:t>
      </w:r>
    </w:p>
    <w:p w14:paraId="1C24D5D7">
      <w:pPr>
        <w:pStyle w:val="234"/>
        <w:ind w:firstLine="720"/>
      </w:pPr>
      <w:r>
        <w:t>- по большему числу набранных командных очков (выигрыш – 2 очка, ничья – 1 очко, поражение – 0 очков);</w:t>
      </w:r>
    </w:p>
    <w:p w14:paraId="29E27D7B">
      <w:pPr>
        <w:pStyle w:val="234"/>
        <w:ind w:firstLine="720"/>
      </w:pPr>
      <w:r>
        <w:t>- по</w:t>
      </w:r>
      <w:r>
        <w:rPr>
          <w:spacing w:val="-2"/>
        </w:rPr>
        <w:t xml:space="preserve"> </w:t>
      </w:r>
      <w:r>
        <w:t>результату</w:t>
      </w:r>
      <w:r>
        <w:rPr>
          <w:spacing w:val="-7"/>
        </w:rPr>
        <w:t xml:space="preserve"> </w:t>
      </w:r>
      <w:r>
        <w:t>матча</w:t>
      </w:r>
      <w:r>
        <w:rPr>
          <w:spacing w:val="-3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rPr>
          <w:spacing w:val="-2"/>
        </w:rPr>
        <w:t>собой;</w:t>
      </w:r>
    </w:p>
    <w:p w14:paraId="10EA2A57">
      <w:pPr>
        <w:pStyle w:val="234"/>
        <w:ind w:firstLine="720"/>
      </w:pPr>
      <w:r>
        <w:t>- по</w:t>
      </w:r>
      <w:r>
        <w:rPr>
          <w:spacing w:val="-7"/>
        </w:rPr>
        <w:t xml:space="preserve"> </w:t>
      </w:r>
      <w:r>
        <w:t>командному</w:t>
      </w:r>
      <w:r>
        <w:rPr>
          <w:spacing w:val="-11"/>
        </w:rPr>
        <w:t xml:space="preserve"> </w:t>
      </w:r>
      <w:r>
        <w:t>коэффициенту</w:t>
      </w:r>
      <w:r>
        <w:rPr>
          <w:spacing w:val="-10"/>
        </w:rPr>
        <w:t xml:space="preserve"> </w:t>
      </w:r>
      <w:r>
        <w:rPr>
          <w:spacing w:val="-2"/>
        </w:rPr>
        <w:t>Бухгольца.</w:t>
      </w:r>
    </w:p>
    <w:p w14:paraId="15715D7A">
      <w:pPr>
        <w:widowControl w:val="0"/>
        <w:ind w:firstLine="720"/>
        <w:jc w:val="both"/>
        <w:rPr>
          <w:bCs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На каждом этапе «Детской шахматной лиги» клубам в турнирах «А», «В», и «С» будут начисляться очки, в зависимости от занятого места в турнире (Таблица 1). </w:t>
      </w:r>
      <w:r>
        <w:rPr>
          <w:bCs/>
          <w:sz w:val="28"/>
          <w:szCs w:val="28"/>
        </w:rPr>
        <w:t xml:space="preserve">Итоги клубного зачета (Приложение № 3) будут подведены </w:t>
      </w:r>
      <w:r>
        <w:rPr>
          <w:bCs/>
          <w:color w:val="000000"/>
          <w:spacing w:val="1"/>
          <w:sz w:val="28"/>
          <w:szCs w:val="28"/>
        </w:rPr>
        <w:t>по итогам всех этапов</w:t>
      </w:r>
      <w:r>
        <w:rPr>
          <w:bCs/>
          <w:sz w:val="28"/>
          <w:szCs w:val="28"/>
        </w:rPr>
        <w:t>. В случае равенства клубных очков по итогам года места определяются по суммарному коэффициенту Бухгольца, набранными лучшими командами клубов на каждом этапе.</w:t>
      </w:r>
    </w:p>
    <w:p w14:paraId="1D614CD4">
      <w:pPr>
        <w:widowControl w:val="0"/>
        <w:ind w:firstLine="720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Личный зачет по итогам всех этапов «Детской шахматной лиги» в турнирах «А», «В» и «С» будет подводиться по сумме очков, набранных за каждый отдельный этап (Таблица 1). Очки за каждый отдельный этап начисляются отдельно для мальчиков и отдельно для девочек.</w:t>
      </w:r>
      <w:r>
        <w:rPr>
          <w:bCs/>
          <w:sz w:val="28"/>
          <w:szCs w:val="28"/>
        </w:rPr>
        <w:t xml:space="preserve"> В случае равенства очков по итогам года места определяются по суммарному коэффициенту Бухгольца, набранными участниками на каждом этапе.</w:t>
      </w:r>
    </w:p>
    <w:p w14:paraId="032E0FBB">
      <w:pPr>
        <w:widowControl w:val="0"/>
        <w:ind w:firstLine="720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Клубный зачет в турнире «</w:t>
      </w:r>
      <w:r>
        <w:rPr>
          <w:bCs/>
          <w:color w:val="000000"/>
          <w:spacing w:val="1"/>
          <w:sz w:val="28"/>
          <w:szCs w:val="28"/>
          <w:lang w:val="en-US"/>
        </w:rPr>
        <w:t>D</w:t>
      </w:r>
      <w:r>
        <w:rPr>
          <w:bCs/>
          <w:color w:val="000000"/>
          <w:spacing w:val="1"/>
          <w:sz w:val="28"/>
          <w:szCs w:val="28"/>
        </w:rPr>
        <w:t xml:space="preserve">» подводится по сумме очков, набранных за каждый отдельный этап. В зачет идет выступление одной лучшей команды, представляющей клуб. </w:t>
      </w:r>
      <w:r>
        <w:rPr>
          <w:bCs/>
          <w:sz w:val="28"/>
          <w:szCs w:val="28"/>
        </w:rPr>
        <w:t>В случае равенства клубных очков по итогам года места определяются по суммарному коэффициенту Бухгольца, набранными лучшими командами клубов на каждом этапе.</w:t>
      </w:r>
    </w:p>
    <w:p w14:paraId="4E9F8CDE">
      <w:pPr>
        <w:widowControl w:val="0"/>
        <w:ind w:firstLine="720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Очки, начисляемые за место в этапе, представлены в таблице 1.</w:t>
      </w:r>
    </w:p>
    <w:p w14:paraId="5513FC32">
      <w:pPr>
        <w:widowControl w:val="0"/>
        <w:ind w:firstLine="720"/>
        <w:jc w:val="right"/>
        <w:rPr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br w:type="textWrapping"/>
      </w:r>
      <w:r>
        <w:rPr>
          <w:bCs/>
          <w:color w:val="000000"/>
          <w:spacing w:val="1"/>
          <w:sz w:val="28"/>
          <w:szCs w:val="28"/>
        </w:rPr>
        <w:t>Таблица 1</w:t>
      </w:r>
    </w:p>
    <w:p w14:paraId="713332CA">
      <w:pPr>
        <w:widowControl w:val="0"/>
        <w:ind w:firstLine="720"/>
        <w:jc w:val="right"/>
        <w:rPr>
          <w:color w:val="000000"/>
          <w:spacing w:val="1"/>
          <w:sz w:val="16"/>
          <w:szCs w:val="16"/>
        </w:rPr>
      </w:pPr>
    </w:p>
    <w:tbl>
      <w:tblPr>
        <w:tblStyle w:val="4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9"/>
      </w:tblGrid>
      <w:tr w14:paraId="460A4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 w14:paraId="3F3716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  <w:tc>
          <w:tcPr>
            <w:tcW w:w="709" w:type="dxa"/>
          </w:tcPr>
          <w:p w14:paraId="0F7F6F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14:paraId="123601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14:paraId="12E2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14:paraId="5BB43E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14:paraId="62951D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14:paraId="178405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14:paraId="577B85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14:paraId="1DF2BA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14:paraId="44862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14:paraId="15CA9A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</w:tcPr>
          <w:p w14:paraId="788C88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14:paraId="07FE03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14:paraId="77CBAC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14:paraId="77502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14:paraId="58D54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 w14:paraId="674929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Очки</w:t>
            </w:r>
          </w:p>
        </w:tc>
        <w:tc>
          <w:tcPr>
            <w:tcW w:w="709" w:type="dxa"/>
          </w:tcPr>
          <w:p w14:paraId="20C24F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09" w:type="dxa"/>
          </w:tcPr>
          <w:p w14:paraId="56238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</w:tcPr>
          <w:p w14:paraId="19821B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14:paraId="54C130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</w:tcPr>
          <w:p w14:paraId="22A21E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14:paraId="3ABA5C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</w:tcPr>
          <w:p w14:paraId="25CD91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14:paraId="45A03C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</w:tcPr>
          <w:p w14:paraId="32FB16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14:paraId="20B8D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14:paraId="7B79FB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567C01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36D0FA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797558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FAA05EB">
      <w:pPr>
        <w:ind w:right="-144" w:firstLine="720"/>
        <w:jc w:val="center"/>
        <w:rPr>
          <w:b/>
          <w:bCs/>
          <w:sz w:val="28"/>
          <w:szCs w:val="28"/>
        </w:rPr>
      </w:pPr>
    </w:p>
    <w:p w14:paraId="41DAA330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Награждение</w:t>
      </w:r>
    </w:p>
    <w:p w14:paraId="09A83522">
      <w:pPr>
        <w:ind w:right="-144" w:firstLine="72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02568DD8">
      <w:pPr>
        <w:pBdr>
          <w:left w:val="none" w:color="000000" w:sz="0" w:space="2"/>
        </w:pBd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Участники Соревнований, занявшие 1–3 места в турнирах «А», «В» и «С», отдельно среди мальчиков и девочек, в каждом из турниров награждаются медалями и дипломами. Победитель отдельно среди мальчиков и девочек награждается кубком.</w:t>
      </w:r>
    </w:p>
    <w:p w14:paraId="2A1EC6AB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Дополнительно определяются победители и призеры в турнире «А» в номинации «мальчики и девочки 2021 г. р. и моложе» и награждаются медалями и дипломами. </w:t>
      </w:r>
      <w:r>
        <w:rPr>
          <w:bCs/>
          <w:sz w:val="28"/>
          <w:szCs w:val="28"/>
        </w:rPr>
        <w:t>Участники 2021 года г.р. и младше, попавшие в основную призовую тройку могут получить больше одного приза.</w:t>
      </w:r>
    </w:p>
    <w:p w14:paraId="4444F5EC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Команды в турнире «</w:t>
      </w:r>
      <w:r>
        <w:rPr>
          <w:bCs/>
          <w:sz w:val="28"/>
          <w:szCs w:val="28"/>
          <w:lang w:val="en-US"/>
        </w:rPr>
        <w:t>D</w:t>
      </w:r>
      <w:r>
        <w:rPr>
          <w:bCs/>
          <w:sz w:val="28"/>
          <w:szCs w:val="28"/>
        </w:rPr>
        <w:t>», занявшие 1-3 места, награждаются кубками и дипломами, а участники команд – медалями и дипломами.</w:t>
      </w:r>
    </w:p>
    <w:p w14:paraId="6C6A20D6">
      <w:pPr>
        <w:pBdr>
          <w:left w:val="none" w:color="000000" w:sz="0" w:space="2"/>
        </w:pBd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Команды клубов в турнирах «А», «В» и «С», занявшие 1-3 места, будут награждены кубками и дипломами, а участники команд (два мальчика и девочка) – медалями и дипломами.</w:t>
      </w:r>
    </w:p>
    <w:p w14:paraId="19EB370D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Участники, занявшие 1-3 места по итогам всех этапов «Детской шахматной лиги» в турнирах «А», «В» и «С», </w:t>
      </w:r>
      <w:r>
        <w:rPr>
          <w:b/>
          <w:sz w:val="28"/>
          <w:szCs w:val="28"/>
        </w:rPr>
        <w:t xml:space="preserve">отдельно среди мальчиков и девочек, в каждом из турниров </w:t>
      </w:r>
      <w:r>
        <w:rPr>
          <w:b/>
          <w:bCs/>
          <w:sz w:val="28"/>
          <w:szCs w:val="28"/>
        </w:rPr>
        <w:t>будут награждены кубками, медалями и дипломами.</w:t>
      </w:r>
    </w:p>
    <w:p w14:paraId="1E0D4C68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Клубы, занявшие по итогам всех этапов 1–3 места, в каждом из турниров награждаются кубками и дипломами.</w:t>
      </w:r>
    </w:p>
    <w:p w14:paraId="00AF7022">
      <w:pPr>
        <w:pBdr>
          <w:left w:val="none" w:color="000000" w:sz="0" w:space="2"/>
        </w:pBdr>
        <w:ind w:right="-144" w:firstLine="720"/>
        <w:jc w:val="both"/>
        <w:rPr>
          <w:b/>
          <w:bCs/>
          <w:sz w:val="28"/>
          <w:szCs w:val="28"/>
        </w:rPr>
      </w:pPr>
    </w:p>
    <w:p w14:paraId="4CCD7CE2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Условия финансирования</w:t>
      </w:r>
    </w:p>
    <w:p w14:paraId="005A299D">
      <w:pPr>
        <w:ind w:right="-144" w:firstLine="720"/>
        <w:jc w:val="center"/>
        <w:rPr>
          <w:b/>
          <w:bCs/>
          <w:sz w:val="28"/>
          <w:szCs w:val="28"/>
        </w:rPr>
      </w:pPr>
    </w:p>
    <w:p w14:paraId="183DFC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приобретению наградной продукции (дипломы, кубки, медали), а также по оплате питания судей и обслуживающего персонала несет ГАУ ДО НСО «СШ по шахматам». </w:t>
      </w:r>
    </w:p>
    <w:p w14:paraId="4EE6EBE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Расходы по приобретению сувенирной и полиграфической продукции несет РОО «ФШ НСО» за счет собранных заявочных взносов.</w:t>
      </w:r>
    </w:p>
    <w:p w14:paraId="06F2B4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проездом к месту проведения Соревнований, питанием и размещением спортсменов и представителей во время Соревнований, несут командирующие организации или сами участники.</w:t>
      </w:r>
    </w:p>
    <w:p w14:paraId="0F840E80">
      <w:pPr>
        <w:ind w:right="-144" w:firstLine="720"/>
        <w:rPr>
          <w:sz w:val="28"/>
          <w:szCs w:val="28"/>
        </w:rPr>
      </w:pPr>
    </w:p>
    <w:p w14:paraId="766DF0E1">
      <w:pPr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Обеспечение безопасности участников и зрителей</w:t>
      </w:r>
    </w:p>
    <w:p w14:paraId="638AB89E">
      <w:pPr>
        <w:ind w:right="-144" w:firstLine="72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4A2E0575">
      <w:pPr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Соревнования проводятся на объекте спорта, отвечающем требованиям соответствующих нормативным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при наличии актов готовности физкультурного или спортивного объекта к проведению физкультурных и спортивных мероприятий, утвержденных в </w:t>
      </w:r>
      <w:r>
        <w:rPr>
          <w:sz w:val="28"/>
          <w:szCs w:val="28"/>
        </w:rPr>
        <w:t>установленном порядке.</w:t>
      </w:r>
    </w:p>
    <w:p w14:paraId="7C4FFFE3">
      <w:pPr>
        <w:ind w:firstLine="720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t>РОО «ФШ НСО» обеспечивает общественный порядок и общественную безопасность в соответствии с постановлением правительства Российской Федерации от 18 апреля 2014 г. № 353, планом по обеспечению общественного порядка и общественной безопасности на объекте при проведении официальных спортивных соревнований. Собственник объекта ОАО «Стадион «Спартак» выполняет мероприятия по обеспечению антитеррористической защищенности объекта в соответствии с постановлением Правительства Российской Федерации от 6 марта 2015 г. № 202.</w:t>
      </w:r>
    </w:p>
    <w:p w14:paraId="30E2E7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медицинского обеспечения соревнований осуществляется в соответствии с Приказом Министерства здравоохранения РФ от 19 мая 2026 г. № 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6852BB1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Соревнованиях осуществляется при наличии полиса страхования жизни и здоровья от несчастных случаев, который предоставляется в комиссию по допуску на каждого участника Соревнований. </w:t>
      </w:r>
    </w:p>
    <w:p w14:paraId="09B0E6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 за обеспечение безопасности участников и зрителей в игровой зоне является главный судья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Соревнования</w:t>
      </w:r>
      <w:r>
        <w:rPr>
          <w:sz w:val="28"/>
          <w:szCs w:val="28"/>
        </w:rPr>
        <w:t>. Ответственные за безопасность участников вне игровой зоны – руководители делегаций и сопровождающие лица.</w:t>
      </w:r>
    </w:p>
    <w:p w14:paraId="2818FAB0">
      <w:pPr>
        <w:pStyle w:val="40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6" w:name="_Hlk100674463"/>
      <w:r>
        <w:rPr>
          <w:sz w:val="28"/>
          <w:szCs w:val="28"/>
        </w:rPr>
        <w:t>Антидопинговое обеспечение Соревнования осуществляется в соответствии с Общероссийскими антидопинговыми правилами, утвержденными приказом Минспорта России от 24 июня 2021 года № 464.</w:t>
      </w:r>
      <w:bookmarkEnd w:id="6"/>
    </w:p>
    <w:p w14:paraId="54121DA9">
      <w:pPr>
        <w:ind w:right="-144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140283F">
      <w:pPr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10.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Заявки на участие</w:t>
      </w:r>
    </w:p>
    <w:p w14:paraId="2217FE74">
      <w:pPr>
        <w:ind w:right="-144" w:firstLine="720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14:paraId="1167AE51">
      <w:pPr>
        <w:ind w:firstLine="720"/>
        <w:jc w:val="both"/>
        <w:rPr>
          <w:b/>
          <w:bCs/>
          <w:color w:val="000000"/>
          <w:sz w:val="28"/>
          <w:szCs w:val="28"/>
        </w:rPr>
      </w:pPr>
      <w:bookmarkStart w:id="7" w:name="_Hlk117868671"/>
      <w:bookmarkStart w:id="8" w:name="_Hlk68704023"/>
      <w:r>
        <w:rPr>
          <w:color w:val="000000"/>
          <w:sz w:val="28"/>
          <w:szCs w:val="28"/>
        </w:rPr>
        <w:t>Обязательная предварительная электронная регистрация участников будет осуществляться до</w:t>
      </w:r>
      <w:r>
        <w:rPr>
          <w:b/>
          <w:bCs/>
          <w:color w:val="000000"/>
          <w:sz w:val="28"/>
          <w:szCs w:val="28"/>
        </w:rPr>
        <w:t xml:space="preserve"> 18:00 часов 14 октября 2026 г.</w:t>
      </w:r>
    </w:p>
    <w:p w14:paraId="00B3FFCC">
      <w:pPr>
        <w:ind w:firstLine="7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мест для участия ограничено, регистрация может быть закрыта раньше срока.</w:t>
      </w:r>
    </w:p>
    <w:bookmarkEnd w:id="7"/>
    <w:p w14:paraId="5DA2D988">
      <w:pPr>
        <w:ind w:firstLine="720"/>
        <w:jc w:val="both"/>
        <w:rPr>
          <w:color w:val="000000"/>
          <w:sz w:val="28"/>
          <w:szCs w:val="28"/>
        </w:rPr>
      </w:pPr>
      <w:bookmarkStart w:id="9" w:name="_Hlk117868677"/>
      <w:r>
        <w:rPr>
          <w:color w:val="000000"/>
          <w:sz w:val="28"/>
          <w:szCs w:val="28"/>
        </w:rPr>
        <w:t xml:space="preserve">Участники подают заявку на сайте </w:t>
      </w:r>
      <w:r>
        <w:rPr>
          <w:color w:val="000000"/>
          <w:sz w:val="28"/>
          <w:szCs w:val="28"/>
          <w:lang w:val="en-US"/>
        </w:rPr>
        <w:t>novosibirskchess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</w:rPr>
        <w:t>, заполнив форму регистрации. К заявке прикладываются следующие документы:</w:t>
      </w:r>
    </w:p>
    <w:p w14:paraId="2B6ED12C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согласие участника, либо его законного представителя на обработку персональных данных (приложение № 1, приложение № 2); </w:t>
      </w:r>
    </w:p>
    <w:p w14:paraId="6C76173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свидетельства о рождении или паспорта;</w:t>
      </w:r>
    </w:p>
    <w:p w14:paraId="4BC6323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медицинская справка о допуске на Соревнования;</w:t>
      </w:r>
    </w:p>
    <w:p w14:paraId="4AD41F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полис страхования жизни и здоровья от несчастных случаев.</w:t>
      </w:r>
      <w:bookmarkEnd w:id="9"/>
    </w:p>
    <w:p w14:paraId="2F273D76">
      <w:pPr>
        <w:pStyle w:val="29"/>
        <w:spacing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Участник, выполнивший все требования электронной регистрации, включается в стартовый список.</w:t>
      </w:r>
    </w:p>
    <w:p w14:paraId="6A3693EB">
      <w:pPr>
        <w:pStyle w:val="29"/>
        <w:spacing w:after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процессе регистрации участник может указать клуб, за который он хочет выступать. Для участия только в личном зачете выбирать клуб не обязательно. Выбрать и представлять можно только один клуб на протяжении всех этапов «Детской шахматной лиги» в течение года.</w:t>
      </w:r>
    </w:p>
    <w:p w14:paraId="012949D5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Участник, решивший не участвовать в Соревнованиях после прохождения предварительной регистрации, обязан поставить в известность организаторов о своем решении.</w:t>
      </w:r>
    </w:p>
    <w:p w14:paraId="788DADC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невозможности оплатить заявочный взнос электронным платежом на сайте novosibirskchess.ru, оплата производится не позднее, чем за пять дней до начала Соревнования по следующим реквизитам:</w:t>
      </w:r>
    </w:p>
    <w:p w14:paraId="63A9E85B">
      <w:pPr>
        <w:ind w:firstLine="720"/>
        <w:jc w:val="both"/>
        <w:rPr>
          <w:color w:val="000000"/>
          <w:sz w:val="28"/>
          <w:szCs w:val="28"/>
        </w:rPr>
      </w:pPr>
    </w:p>
    <w:p w14:paraId="4ED1EEEC">
      <w:pPr>
        <w:shd w:val="clear" w:color="auto" w:fill="FFFFFF"/>
        <w:tabs>
          <w:tab w:val="left" w:pos="7965"/>
        </w:tabs>
        <w:ind w:firstLine="720"/>
        <w:jc w:val="both"/>
        <w:rPr>
          <w:i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Получатель: </w:t>
      </w:r>
      <w:r>
        <w:rPr>
          <w:i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>Региональная общественная организация по развитию и популяризации шахмат «Федерация Шахмат Новосибирской области» (РОО «ФШ НСО»)</w:t>
      </w:r>
      <w:r>
        <w:rPr>
          <w:i/>
          <w:color w:val="000000" w:themeColor="text1"/>
          <w:spacing w:val="-2"/>
          <w:sz w:val="28"/>
          <w:szCs w:val="28"/>
          <w14:textFill>
            <w14:solidFill>
              <w14:schemeClr w14:val="tx1"/>
            </w14:solidFill>
          </w14:textFill>
        </w:rPr>
        <w:tab/>
      </w:r>
    </w:p>
    <w:p w14:paraId="0F5DD95C">
      <w:pPr>
        <w:tabs>
          <w:tab w:val="left" w:pos="0"/>
        </w:tabs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ИНН: 5403008114 КПП: 540601001</w:t>
      </w:r>
    </w:p>
    <w:p w14:paraId="6DD98870">
      <w:pPr>
        <w:tabs>
          <w:tab w:val="left" w:pos="0"/>
        </w:tabs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Реквизиты банка</w:t>
      </w:r>
    </w:p>
    <w:p w14:paraId="594C1782">
      <w:pPr>
        <w:tabs>
          <w:tab w:val="left" w:pos="0"/>
        </w:tabs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Название: Банк ВТБ (ПАО)</w:t>
      </w:r>
    </w:p>
    <w:p w14:paraId="1D2EA34E">
      <w:pPr>
        <w:tabs>
          <w:tab w:val="left" w:pos="0"/>
        </w:tabs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БИК: 044525411</w:t>
      </w:r>
    </w:p>
    <w:p w14:paraId="670FC448">
      <w:pPr>
        <w:tabs>
          <w:tab w:val="left" w:pos="0"/>
        </w:tabs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Город: Новосибирск</w:t>
      </w: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Р. счёт: 40703810413232000020</w:t>
      </w:r>
    </w:p>
    <w:p w14:paraId="5E6AA5A6">
      <w:pPr>
        <w:tabs>
          <w:tab w:val="left" w:pos="0"/>
        </w:tabs>
        <w:ind w:firstLine="720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Корр. счёт: </w:t>
      </w:r>
      <w:r>
        <w:rPr>
          <w:i/>
          <w:iCs/>
          <w:sz w:val="28"/>
          <w:szCs w:val="28"/>
        </w:rPr>
        <w:t>30101810145250000411</w:t>
      </w:r>
    </w:p>
    <w:p w14:paraId="28FDC5C5">
      <w:pPr>
        <w:pStyle w:val="219"/>
        <w:ind w:firstLine="720"/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Назначение платежа: Заявочный взнос за участие в Детской шахматной лиге за &lt;ФИО участника&gt; или &lt;Название команды&gt;.</w:t>
      </w:r>
    </w:p>
    <w:bookmarkEnd w:id="8"/>
    <w:p w14:paraId="12A7FC95">
      <w:pPr>
        <w:ind w:firstLine="720"/>
        <w:jc w:val="both"/>
        <w:rPr>
          <w:color w:val="000000"/>
          <w:sz w:val="28"/>
          <w:szCs w:val="28"/>
        </w:rPr>
      </w:pPr>
    </w:p>
    <w:p w14:paraId="36A696D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турнира – Коцур Иван Павлович, тел. +7-923-170-56-43, </w:t>
      </w:r>
      <w:r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mail</w:t>
      </w:r>
      <w:r>
        <w:rPr>
          <w:color w:val="000000"/>
          <w:sz w:val="28"/>
          <w:szCs w:val="28"/>
        </w:rPr>
        <w:t xml:space="preserve">: </w:t>
      </w:r>
      <w:r>
        <w:fldChar w:fldCharType="begin"/>
      </w:r>
      <w:r>
        <w:instrText xml:space="preserve"> HYPERLINK "mailto:reg@novosibirskchess.ru" \o "mailto:reg@novosibirskchess.ru" </w:instrText>
      </w:r>
      <w:r>
        <w:fldChar w:fldCharType="separate"/>
      </w:r>
      <w:r>
        <w:rPr>
          <w:rStyle w:val="16"/>
          <w:sz w:val="28"/>
          <w:szCs w:val="28"/>
          <w:lang w:val="en-US"/>
        </w:rPr>
        <w:t>reg</w:t>
      </w:r>
      <w:r>
        <w:rPr>
          <w:rStyle w:val="16"/>
          <w:sz w:val="28"/>
          <w:szCs w:val="28"/>
        </w:rPr>
        <w:t>@</w:t>
      </w:r>
      <w:r>
        <w:rPr>
          <w:rStyle w:val="16"/>
          <w:sz w:val="28"/>
          <w:szCs w:val="28"/>
          <w:lang w:val="en-US"/>
        </w:rPr>
        <w:t>novosibirskchess</w:t>
      </w:r>
      <w:r>
        <w:rPr>
          <w:rStyle w:val="16"/>
          <w:sz w:val="28"/>
          <w:szCs w:val="28"/>
        </w:rPr>
        <w:t>.</w:t>
      </w:r>
      <w:r>
        <w:rPr>
          <w:rStyle w:val="16"/>
          <w:sz w:val="28"/>
          <w:szCs w:val="28"/>
          <w:lang w:val="en-US"/>
        </w:rPr>
        <w:t>ru</w:t>
      </w:r>
      <w:r>
        <w:rPr>
          <w:rStyle w:val="16"/>
          <w:sz w:val="28"/>
          <w:szCs w:val="28"/>
          <w:lang w:val="en-US"/>
        </w:rPr>
        <w:fldChar w:fldCharType="end"/>
      </w:r>
      <w:r>
        <w:rPr>
          <w:rStyle w:val="16"/>
          <w:sz w:val="28"/>
          <w:szCs w:val="28"/>
        </w:rPr>
        <w:t xml:space="preserve"> </w:t>
      </w:r>
    </w:p>
    <w:p w14:paraId="0E896F9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уточнения и дополнения регулируются регламентом Соревнований.</w:t>
      </w:r>
    </w:p>
    <w:p w14:paraId="6A477580">
      <w:pPr>
        <w:ind w:firstLine="720"/>
        <w:jc w:val="both"/>
        <w:rPr>
          <w:color w:val="000000"/>
          <w:sz w:val="28"/>
          <w:szCs w:val="28"/>
        </w:rPr>
      </w:pPr>
    </w:p>
    <w:p w14:paraId="06D645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Страхование участников</w:t>
      </w:r>
    </w:p>
    <w:p w14:paraId="6576F290">
      <w:pPr>
        <w:ind w:firstLine="720"/>
        <w:rPr>
          <w:b/>
          <w:bCs/>
          <w:sz w:val="28"/>
          <w:szCs w:val="28"/>
        </w:rPr>
      </w:pPr>
    </w:p>
    <w:p w14:paraId="00E5468A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Участие спортсменов в Соревнованиях осуществляется при наличии оригинала полиса страхования жизни и здоровья от несчастных случаев (с предусмотренным покрытием спортивных рисков), действующего в течение всего периода проведения Соревнований, который представляется в комиссию по допуску участников на каждого участника Соревнований.</w:t>
      </w:r>
    </w:p>
    <w:p w14:paraId="0D861FAA">
      <w:pPr>
        <w:ind w:firstLine="720"/>
        <w:jc w:val="both"/>
        <w:rPr>
          <w:color w:val="000000"/>
          <w:sz w:val="28"/>
          <w:szCs w:val="28"/>
        </w:rPr>
      </w:pPr>
    </w:p>
    <w:p w14:paraId="7FD11E5A">
      <w:pPr>
        <w:ind w:firstLine="720"/>
        <w:jc w:val="center"/>
        <w:rPr>
          <w:b/>
          <w:bCs/>
          <w:color w:val="000000"/>
          <w:sz w:val="28"/>
          <w:szCs w:val="28"/>
        </w:rPr>
      </w:pPr>
    </w:p>
    <w:p w14:paraId="186E7CC2">
      <w:pPr>
        <w:ind w:firstLine="7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Данное положение является официальным приглашением на Соревнования.</w:t>
      </w:r>
    </w:p>
    <w:p w14:paraId="132774FE">
      <w:r>
        <w:rPr/>
        <w:br w:type="page" w:clear="all"/>
      </w:r>
    </w:p>
    <w:p w14:paraId="053B8763">
      <w:pPr>
        <w:pBdr>
          <w:left w:val="none" w:color="000000" w:sz="0" w:space="2"/>
        </w:pBdr>
        <w:ind w:right="-144" w:firstLine="567"/>
        <w:jc w:val="right"/>
        <w:rPr>
          <w:sz w:val="18"/>
          <w:szCs w:val="18"/>
        </w:rPr>
      </w:pPr>
      <w:r>
        <w:rPr>
          <w:szCs w:val="20"/>
        </w:rPr>
        <w:t>Приложение № 1</w:t>
      </w:r>
    </w:p>
    <w:p w14:paraId="39F515DD">
      <w:pPr>
        <w:pBdr>
          <w:left w:val="none" w:color="000000" w:sz="0" w:space="2"/>
        </w:pBdr>
        <w:ind w:right="-144" w:firstLine="567"/>
        <w:jc w:val="right"/>
        <w:rPr>
          <w:sz w:val="18"/>
          <w:szCs w:val="18"/>
        </w:rPr>
      </w:pPr>
    </w:p>
    <w:p w14:paraId="36AE7EEB">
      <w:pPr>
        <w:spacing w:after="4" w:line="249" w:lineRule="auto"/>
        <w:ind w:right="53"/>
        <w:jc w:val="center"/>
      </w:pPr>
      <w:r>
        <w:t>СОГЛАСИЕ НА ОБРАБОТКУ ПЕРСОНАЛЬНЫХ ДАННЫХ НЕСОВЕРШЕННОЛЕТНЕГО</w:t>
      </w:r>
    </w:p>
    <w:p w14:paraId="10A4F47F">
      <w:pPr>
        <w:spacing w:after="4" w:line="249" w:lineRule="auto"/>
        <w:ind w:right="53"/>
        <w:jc w:val="center"/>
      </w:pPr>
    </w:p>
    <w:p w14:paraId="0D1F2F7A">
      <w:pPr>
        <w:ind w:right="5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Я, уполномоченный представитель __________________________________________________________________ </w:t>
      </w:r>
    </w:p>
    <w:p w14:paraId="247AECF8">
      <w:pPr>
        <w:spacing w:after="24"/>
        <w:ind w:left="741" w:hanging="10"/>
        <w:jc w:val="both"/>
        <w:rPr>
          <w:sz w:val="19"/>
          <w:szCs w:val="19"/>
        </w:rPr>
      </w:pPr>
      <w:r>
        <w:rPr>
          <w:i/>
          <w:sz w:val="19"/>
          <w:szCs w:val="19"/>
        </w:rPr>
        <w:t xml:space="preserve">(фамилия, имя, отчество несовершеннолетнего)  </w:t>
      </w:r>
    </w:p>
    <w:p w14:paraId="7E9FC24F">
      <w:pPr>
        <w:spacing w:after="5" w:line="248" w:lineRule="auto"/>
        <w:ind w:left="-5" w:right="39" w:hanging="1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__________________________________________________________________________________________________ </w:t>
      </w:r>
    </w:p>
    <w:p w14:paraId="6F2FD8E3">
      <w:pPr>
        <w:spacing w:after="24"/>
        <w:ind w:left="741" w:right="792" w:hanging="10"/>
        <w:jc w:val="both"/>
        <w:rPr>
          <w:sz w:val="19"/>
          <w:szCs w:val="19"/>
        </w:rPr>
      </w:pPr>
      <w:r>
        <w:rPr>
          <w:i/>
          <w:sz w:val="19"/>
          <w:szCs w:val="19"/>
        </w:rPr>
        <w:t xml:space="preserve">(фамилия, имя, отчество законного представителя полностью) </w:t>
      </w:r>
    </w:p>
    <w:p w14:paraId="268027FC">
      <w:pPr>
        <w:spacing w:after="5" w:line="248" w:lineRule="auto"/>
        <w:ind w:left="-5" w:right="39" w:hanging="1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паспорт: серия _________ № ______ выдан «_____» _________________г. ______________________________,  </w:t>
      </w:r>
    </w:p>
    <w:p w14:paraId="07944EFE">
      <w:pPr>
        <w:ind w:left="-5" w:hanging="10"/>
        <w:jc w:val="both"/>
        <w:rPr>
          <w:sz w:val="19"/>
          <w:szCs w:val="19"/>
        </w:rPr>
      </w:pPr>
      <w:r>
        <w:rPr>
          <w:i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(кем выдан)</w:t>
      </w:r>
      <w:r>
        <w:rPr>
          <w:sz w:val="19"/>
          <w:szCs w:val="19"/>
        </w:rPr>
        <w:t xml:space="preserve"> </w:t>
      </w:r>
    </w:p>
    <w:p w14:paraId="12B6593D">
      <w:pPr>
        <w:spacing w:line="239" w:lineRule="auto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зарегистрированный по адресу: ______________________________________________________________________ действующий от имени субъекта персональных данных на основании ____________________________________ __________________________________________________________________________________________________ </w:t>
      </w:r>
    </w:p>
    <w:p w14:paraId="03ACDE75">
      <w:pPr>
        <w:spacing w:after="24"/>
        <w:ind w:left="741" w:right="792" w:hanging="10"/>
        <w:jc w:val="both"/>
        <w:rPr>
          <w:sz w:val="19"/>
          <w:szCs w:val="19"/>
        </w:rPr>
      </w:pPr>
      <w:r>
        <w:rPr>
          <w:i/>
          <w:sz w:val="19"/>
          <w:szCs w:val="19"/>
        </w:rPr>
        <w:t xml:space="preserve">(данные документа, подтверждающего полномочия законного представителя) </w:t>
      </w:r>
    </w:p>
    <w:p w14:paraId="2A75EE96">
      <w:pPr>
        <w:spacing w:after="5" w:line="248" w:lineRule="auto"/>
        <w:ind w:left="-5" w:right="39" w:hanging="1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даю __________________________________________________________(ОГРН _____________, ИНН __________), </w:t>
      </w:r>
    </w:p>
    <w:p w14:paraId="2CD38929">
      <w:pPr>
        <w:spacing w:after="21"/>
        <w:ind w:left="-5" w:hanging="10"/>
        <w:jc w:val="both"/>
        <w:rPr>
          <w:sz w:val="19"/>
          <w:szCs w:val="19"/>
        </w:rPr>
      </w:pPr>
      <w:r>
        <w:rPr>
          <w:i/>
          <w:sz w:val="19"/>
          <w:szCs w:val="19"/>
        </w:rPr>
        <w:t xml:space="preserve">                                                                     (наименование организатора спортивного соревнования) </w:t>
      </w:r>
    </w:p>
    <w:p w14:paraId="4633744D">
      <w:pPr>
        <w:spacing w:after="5" w:line="248" w:lineRule="auto"/>
        <w:ind w:left="-5" w:right="39" w:hanging="1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расположенному по адресу: ______________________ ______________________________________________ (далее – Оператор), согласие на обработку персональных данных.  </w:t>
      </w:r>
    </w:p>
    <w:p w14:paraId="05F75219">
      <w:pPr>
        <w:spacing w:after="29" w:line="248" w:lineRule="auto"/>
        <w:ind w:left="-5" w:right="39" w:hanging="1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Цель обработки персональных данных: </w:t>
      </w:r>
    </w:p>
    <w:p w14:paraId="7299E98E">
      <w:pPr>
        <w:numPr>
          <w:ilvl w:val="0"/>
          <w:numId w:val="1"/>
        </w:numPr>
        <w:spacing w:after="35" w:line="248" w:lineRule="auto"/>
        <w:ind w:right="3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подготовка, проведение и подведение итогов_______________________________________________________ (далее – Соревнование), включая публикацию итогов; </w:t>
      </w:r>
    </w:p>
    <w:p w14:paraId="541A35EE">
      <w:pPr>
        <w:numPr>
          <w:ilvl w:val="0"/>
          <w:numId w:val="1"/>
        </w:numPr>
        <w:spacing w:after="5" w:line="248" w:lineRule="auto"/>
        <w:ind w:right="3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расчет и присвоение российских и международных рейтингов участников Соревнования; </w:t>
      </w:r>
    </w:p>
    <w:p w14:paraId="394ECA73">
      <w:pPr>
        <w:numPr>
          <w:ilvl w:val="0"/>
          <w:numId w:val="1"/>
        </w:numPr>
        <w:spacing w:after="34" w:line="248" w:lineRule="auto"/>
        <w:ind w:right="3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рассмотрение вопросов, связанных с нарушением порядка проведения соревнования, обжалованием соответствующих решений, разрешение конфликтных ситуаций по вопросам спортивной деятельности; </w:t>
      </w:r>
    </w:p>
    <w:p w14:paraId="3EA6B6A7">
      <w:pPr>
        <w:numPr>
          <w:ilvl w:val="0"/>
          <w:numId w:val="1"/>
        </w:numPr>
        <w:spacing w:after="34" w:line="248" w:lineRule="auto"/>
        <w:ind w:right="3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организация системы учета данных о спортсменах, занимающихся видом спорта «шахматы», и выдача документов, удостоверяющих принадлежность к физкультурно-спортивной или иной организации и спортивную квалификацию спортсменов, в порядке, определяемом федеральным органом исполнительной власти в области физической культуры и спорта; </w:t>
      </w:r>
    </w:p>
    <w:p w14:paraId="4A66AA97">
      <w:pPr>
        <w:numPr>
          <w:ilvl w:val="0"/>
          <w:numId w:val="1"/>
        </w:numPr>
        <w:spacing w:after="5" w:line="248" w:lineRule="auto"/>
        <w:ind w:right="39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исполнение требований законодательства Российской Федерации, включая налоговое законодательство, законодательство о бухгалтерском учете, законодательство о социальном обеспечении;  </w:t>
      </w:r>
    </w:p>
    <w:p w14:paraId="6A4122F3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Перечень персональных данных, на обработку которых дается согласие: фамилия, имя, отчество субъекта персональных данных; дата рождения; фамилия, имя, отчество уполномоченного представителя субъекта персональных данных; пол; адрес регистрации (прописки), почтовый адрес; контактные данные (номер телефона, адрес электронной почты); данные документа, удостоверяющего личность; данные документов, удостоверяющих личность и полномочия представителя; фотография; номер полиса обязательного медицинского страхования; идентификационный номер налогоплательщика (ИНН) субъекта персональных данных или его законного представителя; идентификационный номер Общероссийской общественной организации «Федерация шахмат России»» (ФШР); идентификационный номер Международной шахматной федерации (ФИДЕ). </w:t>
      </w:r>
    </w:p>
    <w:p w14:paraId="3EF7BB6B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</w:p>
    <w:p w14:paraId="529F4214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Персональные данные будут обрабатываться Оператором следующими способами: сбор; запись; уточнение (обновление, изменение); систематизация; накопление; хранение; использование; обезличивание; удаление; уничтожение. </w:t>
      </w:r>
    </w:p>
    <w:p w14:paraId="19DB1377">
      <w:pPr>
        <w:spacing w:after="5" w:line="248" w:lineRule="auto"/>
        <w:ind w:left="-15" w:right="39" w:firstLine="283"/>
        <w:rPr>
          <w:sz w:val="19"/>
          <w:szCs w:val="19"/>
        </w:rPr>
      </w:pPr>
      <w:r>
        <w:rPr>
          <w:sz w:val="19"/>
          <w:szCs w:val="19"/>
        </w:rPr>
        <w:t>В отношении персональных данных субъекта персональных данных: фамилия, имя, отчество; дата рождения; пол; страна, город проживания; фотография; идентификационный номер Федерации шахмат России (ФШР); идентификационный номер Международной федерации шахмат (ФИДЕ).</w:t>
      </w:r>
    </w:p>
    <w:p w14:paraId="05F92D7D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>Оператор будет использовать дополнительно к вышеперечисленным следующие способы обработки с передачей по сети Интернет ФШР, ФШР передает данные в ФИДЕ. В отношении этой группы персональных данных законный представитель Субъекта персональных данных дает согласие на передачу в ФШР и ФИДЕ на включение их в общедоступные источники.</w:t>
      </w:r>
    </w:p>
    <w:p w14:paraId="0F70732D">
      <w:pPr>
        <w:spacing w:after="5" w:line="248" w:lineRule="auto"/>
        <w:ind w:left="-15" w:right="39" w:firstLine="283"/>
        <w:rPr>
          <w:sz w:val="19"/>
          <w:szCs w:val="19"/>
        </w:rPr>
      </w:pPr>
      <w:r>
        <w:rPr>
          <w:sz w:val="19"/>
          <w:szCs w:val="19"/>
        </w:rPr>
        <w:t xml:space="preserve">Обработка вышеуказанных персональных данных будет осуществляться путем смешанной (автоматизированной и не автоматизированной) обработки персональных данных. </w:t>
      </w:r>
    </w:p>
    <w:p w14:paraId="71BCD84E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Я ознакомлен с Политикой РОО «ФШ НСО» в отношении обработки персональных данных и информирован о том, что передача (распространение, предоставление, доступ) персональных данных, будет прекращена РОО «ФШ НСО» по моему требованию. Данное требование должно включать в себя фамилию, имя, отчество, контактную информацию, а также перечень персональных данных, обработка которых подлежит прекращению. </w:t>
      </w:r>
    </w:p>
    <w:p w14:paraId="20D2EE2F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Я соглашаюсь с тем, что подача Заявки на участие в спортивном мероприятии, организуемом РОО «ФШ НСО», а равно участие в таком спортивном мероприятии, признается согласием на обработку персональных данных в объеме и способами, предусмотренными Политикой РОО «ФШ НСО» в отношении обработки персональных данных и настоящим Согласием.  </w:t>
      </w:r>
    </w:p>
    <w:p w14:paraId="463A7364">
      <w:pPr>
        <w:spacing w:after="5" w:line="248" w:lineRule="auto"/>
        <w:ind w:left="-15" w:right="39" w:firstLine="283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Настоящее Согласие имеет силу с даты подачи Заявки на участие в спортивном мероприятии и действует бессрочно. </w:t>
      </w:r>
    </w:p>
    <w:p w14:paraId="3A8498BE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 </w:t>
      </w:r>
      <w:bookmarkStart w:id="10" w:name="_GoBack"/>
      <w:bookmarkEnd w:id="10"/>
      <w:r>
        <w:rPr>
          <w:sz w:val="19"/>
          <w:szCs w:val="19"/>
        </w:rPr>
        <w:t>____________________________________   /______________/                   «__» ________ 20__</w:t>
      </w:r>
      <w:r>
        <w:rPr>
          <w:i/>
          <w:sz w:val="19"/>
          <w:szCs w:val="19"/>
        </w:rPr>
        <w:t xml:space="preserve"> </w:t>
      </w:r>
      <w:r>
        <w:rPr>
          <w:sz w:val="19"/>
          <w:szCs w:val="19"/>
        </w:rPr>
        <w:t xml:space="preserve">г. </w:t>
      </w:r>
    </w:p>
    <w:p w14:paraId="6F6668AD">
      <w:pPr>
        <w:spacing w:after="21"/>
        <w:ind w:left="-5" w:hanging="10"/>
        <w:jc w:val="both"/>
        <w:rPr>
          <w:i/>
          <w:sz w:val="19"/>
          <w:szCs w:val="19"/>
        </w:rPr>
      </w:pPr>
      <w:r>
        <w:rPr>
          <w:i/>
          <w:sz w:val="19"/>
          <w:szCs w:val="19"/>
        </w:rPr>
        <w:t xml:space="preserve">                (ФИО полностью)                                                     (подпись)                      (дата) </w:t>
      </w:r>
      <w:r>
        <w:rPr>
          <w:i/>
          <w:sz w:val="19"/>
          <w:szCs w:val="19"/>
        </w:rPr>
        <w:br w:type="page" w:clear="all"/>
      </w:r>
    </w:p>
    <w:p w14:paraId="2382B9C6">
      <w:pPr>
        <w:pBdr>
          <w:left w:val="none" w:color="000000" w:sz="0" w:space="2"/>
        </w:pBdr>
        <w:ind w:right="-144" w:firstLine="567"/>
        <w:jc w:val="right"/>
      </w:pPr>
      <w:r>
        <w:t>Приложение № 2</w:t>
      </w:r>
    </w:p>
    <w:p w14:paraId="0CE978E1">
      <w:pPr>
        <w:ind w:right="-144"/>
        <w:jc w:val="right"/>
      </w:pPr>
    </w:p>
    <w:p w14:paraId="46E2691D">
      <w:pPr>
        <w:spacing w:after="4" w:line="249" w:lineRule="auto"/>
        <w:ind w:left="10" w:right="49" w:hanging="10"/>
        <w:jc w:val="center"/>
      </w:pPr>
      <w:r>
        <w:t>СОГЛАСИЕ</w:t>
      </w:r>
    </w:p>
    <w:p w14:paraId="73AEC992">
      <w:pPr>
        <w:spacing w:after="5" w:line="248" w:lineRule="auto"/>
        <w:ind w:left="312" w:right="39" w:hanging="10"/>
        <w:jc w:val="both"/>
      </w:pPr>
      <w:r>
        <w:t xml:space="preserve"> на обработку персональных данных, разрешенных субъектом персональных данных для распространения </w:t>
      </w:r>
    </w:p>
    <w:p w14:paraId="2FC0EAA2">
      <w:pPr>
        <w:jc w:val="both"/>
      </w:pPr>
      <w:r>
        <w:t xml:space="preserve"> </w:t>
      </w:r>
    </w:p>
    <w:p w14:paraId="7C92DB0C">
      <w:pPr>
        <w:ind w:right="5"/>
        <w:jc w:val="both"/>
      </w:pPr>
      <w:r>
        <w:t xml:space="preserve">  </w:t>
      </w:r>
    </w:p>
    <w:p w14:paraId="7AD1C954">
      <w:pPr>
        <w:spacing w:after="5" w:line="248" w:lineRule="auto"/>
        <w:ind w:left="-5" w:right="39" w:hanging="10"/>
        <w:jc w:val="both"/>
      </w:pPr>
      <w:r>
        <w:t xml:space="preserve">Я,_______________________________________________________________________________________________, данные </w:t>
      </w:r>
      <w:r>
        <w:tab/>
      </w:r>
      <w:r>
        <w:t xml:space="preserve">документа, </w:t>
      </w:r>
      <w:r>
        <w:tab/>
      </w:r>
      <w:r>
        <w:t xml:space="preserve">удостоверяющего </w:t>
      </w:r>
      <w:r>
        <w:tab/>
      </w:r>
      <w:r>
        <w:t xml:space="preserve">личность: </w:t>
      </w:r>
      <w:r>
        <w:tab/>
      </w:r>
      <w:r>
        <w:t xml:space="preserve">серия </w:t>
      </w:r>
      <w:r>
        <w:tab/>
      </w:r>
      <w:r>
        <w:t xml:space="preserve">_____ </w:t>
      </w:r>
      <w:r>
        <w:tab/>
      </w:r>
      <w:r>
        <w:t xml:space="preserve">№ ______ </w:t>
      </w:r>
      <w:r>
        <w:tab/>
      </w:r>
      <w:r>
        <w:t xml:space="preserve">выдан </w:t>
      </w:r>
      <w:r>
        <w:tab/>
      </w:r>
      <w:r>
        <w:t xml:space="preserve">«__» ______ г. </w:t>
      </w:r>
    </w:p>
    <w:p w14:paraId="52392EA1">
      <w:pPr>
        <w:spacing w:after="5" w:line="248" w:lineRule="auto"/>
        <w:ind w:left="-5" w:right="39" w:hanging="10"/>
        <w:jc w:val="both"/>
      </w:pPr>
      <w:r>
        <w:t xml:space="preserve">_________________________________________________________________________________________________,  </w:t>
      </w:r>
    </w:p>
    <w:p w14:paraId="6FA98E1E">
      <w:pPr>
        <w:spacing w:after="21"/>
        <w:ind w:left="-5" w:hanging="10"/>
        <w:jc w:val="both"/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             (кем выдан)                            </w:t>
      </w:r>
    </w:p>
    <w:p w14:paraId="08EE4E0F">
      <w:pPr>
        <w:spacing w:after="5" w:line="248" w:lineRule="auto"/>
        <w:ind w:left="-5" w:right="39" w:hanging="10"/>
        <w:jc w:val="both"/>
      </w:pPr>
      <w:r>
        <w:t>зарегистрированный по адресу: ________________________ даю Федерации шахмат Новосибирской области</w:t>
      </w:r>
    </w:p>
    <w:p w14:paraId="74F84CDA">
      <w:pPr>
        <w:spacing w:after="5" w:line="248" w:lineRule="auto"/>
        <w:ind w:left="-5" w:right="39" w:hanging="10"/>
        <w:jc w:val="both"/>
      </w:pPr>
      <w:r>
        <w:t>(ОГРН 1155476089856, ИНН 5403008114/540301001), расположенному по адресу: 630091, г. Новосибирск, ул.Каменская 45, оф.15 (далее – Оператор), согласие на обработку своих персональных данных, на распространение которых мною дается разрешение:</w:t>
      </w:r>
      <w:r>
        <w:rPr>
          <w:i/>
          <w:sz w:val="16"/>
        </w:rPr>
        <w:t xml:space="preserve"> </w:t>
      </w:r>
    </w:p>
    <w:p w14:paraId="7A651BDE">
      <w:pPr>
        <w:jc w:val="both"/>
      </w:pPr>
      <w:r>
        <w:t xml:space="preserve"> </w:t>
      </w:r>
    </w:p>
    <w:p w14:paraId="1167985F">
      <w:pPr>
        <w:spacing w:after="29" w:line="248" w:lineRule="auto"/>
        <w:ind w:left="-5" w:right="39" w:hanging="10"/>
        <w:jc w:val="both"/>
      </w:pPr>
      <w:r>
        <w:t xml:space="preserve">Перечень персональных данных, на распространение которых дается разрешение: </w:t>
      </w:r>
    </w:p>
    <w:p w14:paraId="4E364D00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фамилия, имя, отчество; </w:t>
      </w:r>
    </w:p>
    <w:p w14:paraId="2A44AAA2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дата рождения; </w:t>
      </w:r>
    </w:p>
    <w:p w14:paraId="095415A8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пол;  </w:t>
      </w:r>
    </w:p>
    <w:p w14:paraId="04109691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страна, город проживания; </w:t>
      </w:r>
    </w:p>
    <w:p w14:paraId="224B145F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фотография; </w:t>
      </w:r>
    </w:p>
    <w:p w14:paraId="00F76181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идентификационный номер Общероссийской общественной организации «Федерация шахмат России»» (ФШР); </w:t>
      </w:r>
    </w:p>
    <w:p w14:paraId="297BB745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rPr>
          <w:rFonts w:eastAsia="Arial"/>
        </w:rPr>
        <w:t xml:space="preserve"> </w:t>
      </w:r>
      <w:r>
        <w:t xml:space="preserve">идентификационный номер Международной федерации шахмат (ФИДЕ). </w:t>
      </w:r>
    </w:p>
    <w:p w14:paraId="6E01FA42">
      <w:pPr>
        <w:ind w:left="283"/>
        <w:jc w:val="both"/>
      </w:pPr>
      <w:r>
        <w:t xml:space="preserve"> </w:t>
      </w:r>
    </w:p>
    <w:p w14:paraId="098B0843">
      <w:pPr>
        <w:spacing w:after="30" w:line="248" w:lineRule="auto"/>
        <w:ind w:left="293" w:right="39" w:hanging="10"/>
        <w:jc w:val="both"/>
      </w:pPr>
      <w:r>
        <w:t xml:space="preserve">Цель обработки персональных данных, разрешенных для распространения: </w:t>
      </w:r>
    </w:p>
    <w:p w14:paraId="5B594E17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подготовка, проведение и подведение итогов соревнований, включая публикацию итогов; </w:t>
      </w:r>
    </w:p>
    <w:p w14:paraId="41A9077E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расчет, присвоение и публикация российских и международных рейтингов спортсменов; </w:t>
      </w:r>
    </w:p>
    <w:p w14:paraId="0D04A3E6">
      <w:pPr>
        <w:numPr>
          <w:ilvl w:val="0"/>
          <w:numId w:val="2"/>
        </w:numPr>
        <w:spacing w:after="33" w:line="248" w:lineRule="auto"/>
        <w:ind w:right="39" w:hanging="283"/>
        <w:jc w:val="both"/>
      </w:pPr>
      <w:r>
        <w:t xml:space="preserve">рассмотрение вопросов, связанных с нарушением порядка проведения соревнования, обжалованием соответствующих решений, разрешение конфликтных ситуаций по вопросам спортивной деятельности; </w:t>
      </w:r>
    </w:p>
    <w:p w14:paraId="362D3842">
      <w:pPr>
        <w:numPr>
          <w:ilvl w:val="0"/>
          <w:numId w:val="2"/>
        </w:numPr>
        <w:spacing w:after="5" w:line="248" w:lineRule="auto"/>
        <w:ind w:right="39" w:hanging="283"/>
        <w:jc w:val="both"/>
      </w:pPr>
      <w:r>
        <w:t xml:space="preserve">организация системы учета данных о спортсменах, занимающихся видом спорта «шахматы», и выдача документов, удостоверяющих принадлежность к физкультурно- спортивной или иной организации и спортивную квалификацию спортсменов, в порядке, определяемом федеральным органом исполнительной власти в области физической культуры и спорта; </w:t>
      </w:r>
    </w:p>
    <w:p w14:paraId="28D10F2D">
      <w:pPr>
        <w:jc w:val="both"/>
      </w:pPr>
      <w:r>
        <w:t xml:space="preserve"> </w:t>
      </w:r>
    </w:p>
    <w:p w14:paraId="263F148C">
      <w:pPr>
        <w:spacing w:after="5" w:line="248" w:lineRule="auto"/>
        <w:ind w:left="-15" w:right="39" w:firstLine="283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t>Информационные ресурсы, посредством которых будет осуществляться распространение персональных данных</w:t>
      </w:r>
      <w:r>
        <w:rPr>
          <w:szCs w:val="20"/>
        </w:rPr>
        <w:t>:</w:t>
      </w:r>
      <w:r>
        <w:rPr>
          <w:color w:val="333333"/>
          <w:szCs w:val="20"/>
        </w:rPr>
        <w:t xml:space="preserve"> </w:t>
      </w:r>
      <w:r>
        <w:rPr>
          <w:color w:val="000000" w:themeColor="text1"/>
          <w:szCs w:val="20"/>
          <w:lang w:val="en-US"/>
          <w14:textFill>
            <w14:solidFill>
              <w14:schemeClr w14:val="tx1"/>
            </w14:solidFill>
          </w14:textFill>
        </w:rPr>
        <w:t>novosibirskchess</w:t>
      </w:r>
      <w:r>
        <w:rPr>
          <w:color w:val="000000" w:themeColor="text1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Cs w:val="20"/>
          <w:lang w:val="en-US"/>
          <w14:textFill>
            <w14:solidFill>
              <w14:schemeClr w14:val="tx1"/>
            </w14:solidFill>
          </w14:textFill>
        </w:rPr>
        <w:t>ru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3329FB2">
      <w:pPr>
        <w:spacing w:after="5" w:line="248" w:lineRule="auto"/>
        <w:ind w:left="-15" w:right="39" w:firstLine="283"/>
        <w:jc w:val="both"/>
      </w:pPr>
      <w:r>
        <w:t xml:space="preserve">Я информирован о своем праве установить запреты и условия обработки в отношении персональных данных, на распространение которых настоящим Согласием дается разрешение. Об установлении мной запретов и условий обработки персональных данных, я обязуюсь сообщить РОО «ФШ НСО» путем приложения к заявке на участие в соревновании, организуемом РОО «ФШ НСО», письменного уведомления о категориях и перечне персональных данных, в отношении которых установлены условия и запреты на распространение и предоставление. </w:t>
      </w:r>
    </w:p>
    <w:p w14:paraId="33C2B01C">
      <w:pPr>
        <w:spacing w:after="5" w:line="248" w:lineRule="auto"/>
        <w:ind w:left="-15" w:right="39" w:firstLine="283"/>
        <w:jc w:val="both"/>
      </w:pPr>
      <w:r>
        <w:t>Я ознакомлен с Политикой РОО «ФШ НСО» в отношении обработки персональных данных и уведомлен о том, что передача (распространение, предоставление, доступ) персональных данных, разрешенных мною для распространения, будет прекращена РОО «ФШ НСО» в любое время по моему требованию. Данное требование должно включать в себя фамилию, имя, отчество, контактную информацию, а также перечень персональных данных, обработка которых подлежит прекращению.</w:t>
      </w:r>
    </w:p>
    <w:p w14:paraId="27CD6BEF">
      <w:pPr>
        <w:spacing w:after="5" w:line="248" w:lineRule="auto"/>
        <w:ind w:left="-15" w:right="39" w:firstLine="283"/>
        <w:jc w:val="both"/>
      </w:pPr>
      <w:r>
        <w:t xml:space="preserve">Я соглашаюсь с тем, что подача Заявки на участие в спортивном мероприятии, организуемом РОО «ФШ НСО», а равно участие в таком спортивном мероприятии, признается согласием на обработку персональных данных, разрешенных мной для распространения в объеме и способами, предусмотренными Политикой РОО «ФШ НСО» в отношении обработки персональных данных и настоящим Согласием.  </w:t>
      </w:r>
    </w:p>
    <w:p w14:paraId="455E13B2">
      <w:pPr>
        <w:spacing w:after="5" w:line="248" w:lineRule="auto"/>
        <w:ind w:left="-15" w:right="39" w:firstLine="283"/>
        <w:jc w:val="both"/>
      </w:pPr>
      <w:r>
        <w:t xml:space="preserve">Настоящее Согласие имеет силу с даты подачи Заявки на участие в спортивном мероприятии и действует бессрочно. </w:t>
      </w:r>
    </w:p>
    <w:p w14:paraId="3013C2E6">
      <w:pPr>
        <w:jc w:val="both"/>
      </w:pPr>
      <w:r>
        <w:t xml:space="preserve"> </w:t>
      </w:r>
    </w:p>
    <w:p w14:paraId="1F8BB37F">
      <w:pPr>
        <w:spacing w:after="5" w:line="248" w:lineRule="auto"/>
        <w:ind w:left="-5" w:right="39" w:hanging="10"/>
        <w:jc w:val="both"/>
      </w:pPr>
      <w:r>
        <w:t>____________________________________   /______________/                                              «__» ________ 20__</w:t>
      </w:r>
      <w:r>
        <w:rPr>
          <w:i/>
        </w:rPr>
        <w:t xml:space="preserve"> </w:t>
      </w:r>
      <w:r>
        <w:t xml:space="preserve">г. </w:t>
      </w:r>
    </w:p>
    <w:p w14:paraId="1B082154">
      <w:pPr>
        <w:spacing w:after="21"/>
        <w:ind w:left="-5" w:hanging="10"/>
        <w:jc w:val="both"/>
      </w:pPr>
      <w:r>
        <w:rPr>
          <w:i/>
          <w:sz w:val="16"/>
        </w:rPr>
        <w:t xml:space="preserve">                (ФИО полностью)                                                     (подпись)                                                                                                            (дата) </w:t>
      </w:r>
    </w:p>
    <w:p w14:paraId="24F6AAF0">
      <w:pPr>
        <w:ind w:right="-144" w:firstLine="709"/>
        <w:jc w:val="center"/>
        <w:rPr>
          <w:sz w:val="26"/>
          <w:szCs w:val="26"/>
        </w:rPr>
      </w:pPr>
    </w:p>
    <w:p w14:paraId="4425800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 w:clear="all"/>
      </w:r>
    </w:p>
    <w:p w14:paraId="5B5A7F2B">
      <w:pPr>
        <w:pBdr>
          <w:left w:val="none" w:color="000000" w:sz="0" w:space="2"/>
        </w:pBdr>
        <w:ind w:right="-144" w:firstLine="567"/>
        <w:jc w:val="right"/>
      </w:pPr>
      <w:r>
        <w:t>Приложение № 3</w:t>
      </w:r>
    </w:p>
    <w:tbl>
      <w:tblPr>
        <w:tblStyle w:val="12"/>
        <w:tblW w:w="336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9"/>
      </w:tblGrid>
      <w:tr w14:paraId="44397D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69" w:type="dxa"/>
            <w:noWrap/>
          </w:tcPr>
          <w:p w14:paraId="31145A0E">
            <w:pPr>
              <w:pStyle w:val="219"/>
              <w:ind w:right="-144"/>
              <w:rPr>
                <w:b/>
                <w:sz w:val="24"/>
                <w:szCs w:val="24"/>
              </w:rPr>
            </w:pPr>
          </w:p>
          <w:p w14:paraId="14188786">
            <w:pPr>
              <w:pStyle w:val="219"/>
              <w:ind w:right="-1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УТВЕРЖДЕНО</w:t>
            </w:r>
          </w:p>
          <w:p w14:paraId="75AD325E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Президент Региональной общественной организации по развитию и популяризации шахмат «Федерация шахмат Новосибирской области»</w:t>
            </w:r>
          </w:p>
          <w:p w14:paraId="7157CEE4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02EB318E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6D40F780">
            <w:pPr>
              <w:pStyle w:val="219"/>
              <w:ind w:right="-144"/>
              <w:rPr>
                <w:sz w:val="24"/>
                <w:szCs w:val="24"/>
              </w:rPr>
            </w:pPr>
          </w:p>
          <w:p w14:paraId="1B3ABB94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__________П. С. Малетин</w:t>
            </w:r>
          </w:p>
          <w:p w14:paraId="1334BF04">
            <w:pPr>
              <w:pStyle w:val="219"/>
              <w:ind w:right="-144"/>
              <w:rPr>
                <w:sz w:val="10"/>
                <w:szCs w:val="10"/>
              </w:rPr>
            </w:pPr>
          </w:p>
          <w:p w14:paraId="4E0559A6">
            <w:pPr>
              <w:pStyle w:val="219"/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</w:t>
            </w:r>
            <w:r>
              <w:rPr>
                <w:sz w:val="24"/>
                <w:szCs w:val="24"/>
                <w:lang w:val="en-US"/>
              </w:rPr>
              <w:t>2026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</w:tbl>
    <w:p w14:paraId="349A6451">
      <w:pPr>
        <w:ind w:right="-144"/>
        <w:jc w:val="center"/>
        <w:rPr>
          <w:b/>
          <w:bCs/>
        </w:rPr>
      </w:pPr>
    </w:p>
    <w:p w14:paraId="07DE3773">
      <w:pPr>
        <w:ind w:right="-144"/>
        <w:jc w:val="center"/>
        <w:rPr>
          <w:b/>
          <w:sz w:val="28"/>
          <w:szCs w:val="28"/>
        </w:rPr>
      </w:pPr>
    </w:p>
    <w:p w14:paraId="15D9A4EB">
      <w:pPr>
        <w:ind w:right="-144"/>
        <w:jc w:val="center"/>
        <w:rPr>
          <w:b/>
          <w:sz w:val="28"/>
          <w:szCs w:val="28"/>
        </w:rPr>
      </w:pPr>
    </w:p>
    <w:p w14:paraId="00BE83CB">
      <w:pPr>
        <w:ind w:right="-144"/>
        <w:jc w:val="center"/>
        <w:rPr>
          <w:b/>
          <w:sz w:val="28"/>
          <w:szCs w:val="28"/>
        </w:rPr>
      </w:pPr>
    </w:p>
    <w:p w14:paraId="78917221">
      <w:pPr>
        <w:ind w:right="-144"/>
        <w:jc w:val="center"/>
        <w:rPr>
          <w:b/>
          <w:sz w:val="28"/>
          <w:szCs w:val="28"/>
        </w:rPr>
      </w:pPr>
    </w:p>
    <w:p w14:paraId="55D6314B">
      <w:pPr>
        <w:ind w:right="-144"/>
        <w:jc w:val="center"/>
        <w:rPr>
          <w:b/>
          <w:sz w:val="28"/>
          <w:szCs w:val="28"/>
        </w:rPr>
      </w:pPr>
    </w:p>
    <w:p w14:paraId="7598E67D">
      <w:pPr>
        <w:ind w:right="-144"/>
        <w:jc w:val="center"/>
        <w:rPr>
          <w:b/>
          <w:sz w:val="28"/>
          <w:szCs w:val="28"/>
        </w:rPr>
      </w:pPr>
    </w:p>
    <w:p w14:paraId="3039B5DA">
      <w:p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6863F6B2">
      <w:pPr>
        <w:ind w:right="-144"/>
        <w:jc w:val="center"/>
        <w:rPr>
          <w:sz w:val="28"/>
          <w:szCs w:val="28"/>
        </w:rPr>
      </w:pPr>
    </w:p>
    <w:p w14:paraId="45AE4EFC">
      <w:pPr>
        <w:pStyle w:val="219"/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клубном зачете в рамках </w:t>
      </w:r>
    </w:p>
    <w:p w14:paraId="22CF04C5">
      <w:pPr>
        <w:pStyle w:val="219"/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«Детской шахматной лиги»</w:t>
      </w:r>
    </w:p>
    <w:p w14:paraId="25E7ED10">
      <w:pPr>
        <w:pStyle w:val="219"/>
        <w:ind w:right="-144"/>
        <w:jc w:val="center"/>
        <w:rPr>
          <w:sz w:val="28"/>
          <w:szCs w:val="28"/>
        </w:rPr>
      </w:pPr>
    </w:p>
    <w:p w14:paraId="14E543A5">
      <w:pPr>
        <w:ind w:right="-144"/>
        <w:jc w:val="center"/>
        <w:rPr>
          <w:bCs/>
          <w:sz w:val="28"/>
          <w:szCs w:val="28"/>
        </w:rPr>
      </w:pPr>
    </w:p>
    <w:p w14:paraId="725A4CC7">
      <w:pPr>
        <w:ind w:right="-144"/>
        <w:jc w:val="center"/>
        <w:rPr>
          <w:bCs/>
          <w:sz w:val="28"/>
          <w:szCs w:val="28"/>
        </w:rPr>
      </w:pPr>
    </w:p>
    <w:p w14:paraId="6DA3C40C">
      <w:pPr>
        <w:ind w:right="-144"/>
        <w:jc w:val="center"/>
        <w:rPr>
          <w:bCs/>
          <w:sz w:val="28"/>
          <w:szCs w:val="28"/>
        </w:rPr>
      </w:pPr>
    </w:p>
    <w:p w14:paraId="7C2D241A">
      <w:pPr>
        <w:ind w:right="-144"/>
        <w:jc w:val="center"/>
        <w:rPr>
          <w:bCs/>
          <w:sz w:val="28"/>
          <w:szCs w:val="28"/>
        </w:rPr>
      </w:pPr>
    </w:p>
    <w:p w14:paraId="06D37766">
      <w:pPr>
        <w:ind w:right="-144"/>
        <w:jc w:val="center"/>
        <w:rPr>
          <w:bCs/>
          <w:sz w:val="28"/>
          <w:szCs w:val="28"/>
        </w:rPr>
      </w:pPr>
    </w:p>
    <w:p w14:paraId="4A82B2EF">
      <w:pPr>
        <w:ind w:right="-144"/>
        <w:jc w:val="center"/>
        <w:rPr>
          <w:bCs/>
          <w:sz w:val="28"/>
          <w:szCs w:val="28"/>
        </w:rPr>
      </w:pPr>
    </w:p>
    <w:p w14:paraId="2952EFFB">
      <w:pPr>
        <w:ind w:right="-144"/>
        <w:jc w:val="center"/>
        <w:rPr>
          <w:bCs/>
          <w:sz w:val="28"/>
          <w:szCs w:val="28"/>
        </w:rPr>
      </w:pPr>
    </w:p>
    <w:p w14:paraId="264788C4">
      <w:pPr>
        <w:ind w:right="-144"/>
        <w:jc w:val="center"/>
        <w:rPr>
          <w:bCs/>
          <w:sz w:val="28"/>
          <w:szCs w:val="28"/>
        </w:rPr>
      </w:pPr>
    </w:p>
    <w:p w14:paraId="2B0BEF5C">
      <w:pPr>
        <w:ind w:right="-144"/>
        <w:jc w:val="center"/>
        <w:rPr>
          <w:bCs/>
          <w:sz w:val="28"/>
          <w:szCs w:val="28"/>
        </w:rPr>
      </w:pPr>
    </w:p>
    <w:p w14:paraId="7A6CE7F5">
      <w:pPr>
        <w:ind w:right="-144"/>
        <w:jc w:val="center"/>
        <w:rPr>
          <w:bCs/>
          <w:sz w:val="28"/>
          <w:szCs w:val="28"/>
        </w:rPr>
      </w:pPr>
    </w:p>
    <w:p w14:paraId="1EBE1224">
      <w:pPr>
        <w:ind w:right="-144"/>
        <w:rPr>
          <w:bCs/>
          <w:sz w:val="38"/>
          <w:szCs w:val="38"/>
        </w:rPr>
      </w:pPr>
    </w:p>
    <w:p w14:paraId="1C0ECAD3">
      <w:pPr>
        <w:ind w:right="-144"/>
        <w:rPr>
          <w:bCs/>
          <w:sz w:val="38"/>
          <w:szCs w:val="38"/>
        </w:rPr>
      </w:pPr>
    </w:p>
    <w:p w14:paraId="4AC64E6B">
      <w:pPr>
        <w:ind w:right="-144"/>
        <w:rPr>
          <w:bCs/>
          <w:sz w:val="38"/>
          <w:szCs w:val="38"/>
        </w:rPr>
      </w:pPr>
    </w:p>
    <w:p w14:paraId="7E68A501">
      <w:pPr>
        <w:ind w:right="-144"/>
        <w:rPr>
          <w:sz w:val="38"/>
          <w:szCs w:val="38"/>
        </w:rPr>
      </w:pPr>
    </w:p>
    <w:p w14:paraId="4ECE1B0B">
      <w:pPr>
        <w:ind w:right="-144"/>
        <w:rPr>
          <w:sz w:val="38"/>
          <w:szCs w:val="38"/>
        </w:rPr>
      </w:pPr>
    </w:p>
    <w:p w14:paraId="300F3737">
      <w:pPr>
        <w:ind w:right="-144"/>
        <w:rPr>
          <w:bCs/>
          <w:sz w:val="38"/>
          <w:szCs w:val="38"/>
        </w:rPr>
      </w:pPr>
    </w:p>
    <w:p w14:paraId="3546957F">
      <w:pPr>
        <w:ind w:right="-14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г. Новосибирск, </w:t>
      </w:r>
      <w:r>
        <w:rPr>
          <w:bCs/>
          <w:sz w:val="28"/>
          <w:szCs w:val="28"/>
          <w:lang w:val="en-US"/>
        </w:rPr>
        <w:t>2026</w:t>
      </w:r>
      <w:r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br w:type="textWrapping"/>
      </w:r>
      <w:r>
        <w:rPr>
          <w:bCs/>
          <w:sz w:val="28"/>
          <w:szCs w:val="28"/>
        </w:rPr>
        <w:br w:type="page" w:clear="all"/>
      </w:r>
    </w:p>
    <w:p w14:paraId="6DB0CA7F">
      <w:pPr>
        <w:pStyle w:val="219"/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 Общие положения</w:t>
      </w:r>
    </w:p>
    <w:p w14:paraId="61B93157">
      <w:pPr>
        <w:pStyle w:val="219"/>
        <w:ind w:right="-144"/>
        <w:rPr>
          <w:b/>
          <w:sz w:val="28"/>
          <w:szCs w:val="28"/>
          <w:lang w:eastAsia="en-US"/>
        </w:rPr>
      </w:pPr>
    </w:p>
    <w:p w14:paraId="3BB54E48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Клубный зачет в рамках «Детской шахматной лиги» - это система начисления очков для клубов на основе выступлений их членов в этапах регионального фестиваля «Детской шахматной лиги». </w:t>
      </w:r>
    </w:p>
    <w:p w14:paraId="35D1F88D">
      <w:pPr>
        <w:pStyle w:val="219"/>
        <w:ind w:firstLine="720"/>
        <w:jc w:val="both"/>
        <w:rPr>
          <w:rStyle w:val="222"/>
          <w:b/>
          <w:bCs/>
          <w:sz w:val="28"/>
          <w:szCs w:val="28"/>
        </w:rPr>
      </w:pPr>
      <w:r>
        <w:rPr>
          <w:sz w:val="28"/>
          <w:szCs w:val="28"/>
        </w:rPr>
        <w:t>В рамках «Детской шахматной лиги» в 2026 году будет организовано 4 этапа. Итоги будут поведены в конце года.</w:t>
      </w:r>
    </w:p>
    <w:p w14:paraId="68472DA4">
      <w:pPr>
        <w:pStyle w:val="219"/>
        <w:ind w:firstLine="720"/>
        <w:jc w:val="both"/>
        <w:rPr>
          <w:rStyle w:val="222"/>
          <w:sz w:val="28"/>
          <w:szCs w:val="28"/>
        </w:rPr>
      </w:pPr>
      <w:r>
        <w:rPr>
          <w:rStyle w:val="222"/>
          <w:b/>
          <w:bCs/>
          <w:sz w:val="28"/>
          <w:szCs w:val="28"/>
        </w:rPr>
        <w:t>Целями клубного движения</w:t>
      </w:r>
      <w:r>
        <w:rPr>
          <w:rStyle w:val="222"/>
          <w:sz w:val="28"/>
          <w:szCs w:val="28"/>
        </w:rPr>
        <w:t xml:space="preserve"> являются:</w:t>
      </w:r>
    </w:p>
    <w:p w14:paraId="22FC0D1A">
      <w:pPr>
        <w:pStyle w:val="219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– пропаганда здорового образа жизни;</w:t>
      </w:r>
    </w:p>
    <w:p w14:paraId="57227545">
      <w:pPr>
        <w:pStyle w:val="219"/>
        <w:ind w:firstLine="720"/>
        <w:jc w:val="both"/>
        <w:rPr>
          <w:rStyle w:val="222"/>
          <w:sz w:val="28"/>
          <w:szCs w:val="28"/>
        </w:rPr>
      </w:pPr>
      <w:r>
        <w:rPr>
          <w:sz w:val="28"/>
          <w:szCs w:val="28"/>
        </w:rPr>
        <w:t>– пропаганда шахмат в Новосибирской области</w:t>
      </w:r>
      <w:r>
        <w:rPr>
          <w:rStyle w:val="222"/>
          <w:sz w:val="28"/>
          <w:szCs w:val="28"/>
        </w:rPr>
        <w:t>.</w:t>
      </w:r>
    </w:p>
    <w:p w14:paraId="4F23B4C4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Основными задачами </w:t>
      </w:r>
      <w:r>
        <w:rPr>
          <w:sz w:val="28"/>
          <w:szCs w:val="28"/>
        </w:rPr>
        <w:t>являются:</w:t>
      </w:r>
    </w:p>
    <w:p w14:paraId="1EA0E743">
      <w:pPr>
        <w:ind w:firstLine="720"/>
        <w:jc w:val="both"/>
        <w:rPr>
          <w:sz w:val="28"/>
          <w:szCs w:val="28"/>
        </w:rPr>
      </w:pPr>
      <w:r>
        <w:rPr>
          <w:rStyle w:val="222"/>
          <w:sz w:val="28"/>
          <w:szCs w:val="28"/>
        </w:rPr>
        <w:t>–</w:t>
      </w:r>
      <w:r>
        <w:rPr>
          <w:sz w:val="28"/>
          <w:szCs w:val="28"/>
        </w:rPr>
        <w:t xml:space="preserve"> выявление одаренных юных шахматистов, повышение их мастерства;</w:t>
      </w:r>
    </w:p>
    <w:p w14:paraId="1D9B476B">
      <w:pPr>
        <w:ind w:firstLine="720"/>
        <w:jc w:val="both"/>
        <w:rPr>
          <w:rStyle w:val="22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– </w:t>
      </w:r>
      <w:r>
        <w:rPr>
          <w:rStyle w:val="222"/>
          <w:sz w:val="28"/>
          <w:szCs w:val="28"/>
        </w:rPr>
        <w:t>содействие интеллектуальному развитию детей, привлечение к регулярным занятиям шахматами;</w:t>
      </w:r>
    </w:p>
    <w:p w14:paraId="7C385A9F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Style w:val="222"/>
          <w:sz w:val="28"/>
          <w:szCs w:val="28"/>
        </w:rPr>
        <w:t>– развитие клубной системы в Новосибирской области, увеличение количества занимающихся</w:t>
      </w:r>
      <w:r>
        <w:rPr>
          <w:rFonts w:eastAsia="Calibri"/>
          <w:sz w:val="28"/>
          <w:szCs w:val="28"/>
          <w:lang w:eastAsia="en-US"/>
        </w:rPr>
        <w:t>.</w:t>
      </w:r>
    </w:p>
    <w:p w14:paraId="7543D4B8">
      <w:pPr>
        <w:pStyle w:val="219"/>
        <w:pBdr>
          <w:left w:val="none" w:color="000000" w:sz="0" w:space="2"/>
        </w:pBdr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Клубный зачет будет регламентирован следующими правилами:</w:t>
      </w:r>
    </w:p>
    <w:p w14:paraId="7CCAA0AC">
      <w:pPr>
        <w:pStyle w:val="219"/>
        <w:pBdr>
          <w:left w:val="none" w:color="000000" w:sz="0" w:space="2"/>
        </w:pBdr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количество участников клуба не ограничено;</w:t>
      </w:r>
    </w:p>
    <w:p w14:paraId="1F1BD110">
      <w:pPr>
        <w:pStyle w:val="219"/>
        <w:pBdr>
          <w:left w:val="none" w:color="000000" w:sz="0" w:space="2"/>
        </w:pBdr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 участники лиги будут выбирать свой клуб при регистрации на каждый отдельный этап (клуб уже должен быть зарегистрирован в зачете);</w:t>
      </w:r>
    </w:p>
    <w:p w14:paraId="7AC14CC1">
      <w:pPr>
        <w:pStyle w:val="219"/>
        <w:pBdr>
          <w:left w:val="none" w:color="000000" w:sz="0" w:space="2"/>
        </w:pBdr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- участник лиги может находиться единовременно </w:t>
      </w:r>
      <w:r>
        <w:rPr>
          <w:b/>
          <w:sz w:val="28"/>
          <w:szCs w:val="28"/>
          <w:lang w:eastAsia="en-US"/>
        </w:rPr>
        <w:t>только в одном клубе</w:t>
      </w:r>
      <w:r>
        <w:rPr>
          <w:bCs/>
          <w:sz w:val="28"/>
          <w:szCs w:val="28"/>
          <w:lang w:eastAsia="en-US"/>
        </w:rPr>
        <w:t>. Для смены клуба необходимо написать официальное обращение в РОО «ФШ НСО», которое должно включать согласования обоих клубов, причину перехода, подписи руководителей клубов и подпись законного представителя участника;</w:t>
      </w:r>
    </w:p>
    <w:p w14:paraId="2FF72DA8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- участники одного клуба по жеребьевке могут встречаться между собой в течение одного турнира. </w:t>
      </w:r>
    </w:p>
    <w:p w14:paraId="388D63C2">
      <w:pPr>
        <w:pStyle w:val="219"/>
        <w:ind w:firstLine="720"/>
        <w:jc w:val="both"/>
        <w:rPr>
          <w:sz w:val="28"/>
          <w:szCs w:val="28"/>
        </w:rPr>
      </w:pPr>
    </w:p>
    <w:p w14:paraId="5AD1ADD0">
      <w:pPr>
        <w:pStyle w:val="219"/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 Регистрация клуба</w:t>
      </w:r>
    </w:p>
    <w:p w14:paraId="3155065B">
      <w:pPr>
        <w:pStyle w:val="219"/>
        <w:ind w:right="-144"/>
        <w:jc w:val="both"/>
        <w:rPr>
          <w:b/>
          <w:sz w:val="28"/>
          <w:szCs w:val="28"/>
        </w:rPr>
      </w:pPr>
    </w:p>
    <w:p w14:paraId="64300AF3">
      <w:pPr>
        <w:pStyle w:val="2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Для участия в командном зачете в рамках «Детской шахматной лиги» необходимо подать заявку от организации (дом детского творчества, общеобразовательная организация и т.д.) в РОО «ФШ НСО». </w:t>
      </w:r>
    </w:p>
    <w:p w14:paraId="27DB7FBD">
      <w:pPr>
        <w:pStyle w:val="2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заявке должно быть указано: </w:t>
      </w:r>
    </w:p>
    <w:p w14:paraId="6BB00105">
      <w:pPr>
        <w:pStyle w:val="2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обращение от руководителя организации клуба с подписью и печатью;</w:t>
      </w:r>
    </w:p>
    <w:p w14:paraId="323D5E8D">
      <w:pPr>
        <w:pStyle w:val="21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название организации (команды, клуба и т.д.).</w:t>
      </w:r>
    </w:p>
    <w:p w14:paraId="7B4D1F62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В случае отсутствия организации (актуально для тренеров и родителей) необходимо заявить о создании клуба. Форма положения на создание клуба должна содержать следующие элементы:</w:t>
      </w:r>
    </w:p>
    <w:p w14:paraId="7217FFE3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Название клуба;</w:t>
      </w:r>
    </w:p>
    <w:p w14:paraId="5007DCF4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ФИО руководителя;</w:t>
      </w:r>
    </w:p>
    <w:p w14:paraId="273BBD45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Цели и задачи клуба;</w:t>
      </w:r>
    </w:p>
    <w:p w14:paraId="7016432D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Условия членства;</w:t>
      </w:r>
    </w:p>
    <w:p w14:paraId="3EEFA652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Дату создания и подпись руководителя.</w:t>
      </w:r>
    </w:p>
    <w:p w14:paraId="63D5C64A">
      <w:pPr>
        <w:pStyle w:val="219"/>
        <w:ind w:firstLine="720"/>
        <w:jc w:val="both"/>
        <w:rPr>
          <w:sz w:val="28"/>
          <w:szCs w:val="28"/>
        </w:rPr>
      </w:pPr>
    </w:p>
    <w:p w14:paraId="0052ACFE">
      <w:pPr>
        <w:pStyle w:val="219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Сканы заявок необходимо отправить на почту РОО «ФШ НСО» </w:t>
      </w:r>
      <w:r>
        <w:rPr>
          <w:b/>
          <w:sz w:val="28"/>
          <w:szCs w:val="28"/>
          <w:lang w:val="en-US"/>
        </w:rPr>
        <w:t>reg</w:t>
      </w:r>
      <w:r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novosibirskchess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ru</w:t>
      </w:r>
    </w:p>
    <w:p w14:paraId="6A3AD383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клубов для участия в «Детской шахматной лиге» будет открыта в течение всего года.</w:t>
      </w:r>
    </w:p>
    <w:p w14:paraId="10717401">
      <w:pPr>
        <w:pStyle w:val="219"/>
        <w:ind w:right="-144"/>
        <w:rPr>
          <w:sz w:val="28"/>
          <w:szCs w:val="28"/>
        </w:rPr>
      </w:pPr>
    </w:p>
    <w:p w14:paraId="4F5D1AA1">
      <w:pPr>
        <w:pStyle w:val="219"/>
        <w:numPr>
          <w:ilvl w:val="0"/>
          <w:numId w:val="3"/>
        </w:num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Условия подведения итогов</w:t>
      </w:r>
    </w:p>
    <w:p w14:paraId="2A039A86">
      <w:pPr>
        <w:pStyle w:val="219"/>
        <w:ind w:right="-144"/>
        <w:rPr>
          <w:bCs/>
          <w:sz w:val="22"/>
          <w:lang w:eastAsia="en-US"/>
        </w:rPr>
      </w:pPr>
    </w:p>
    <w:p w14:paraId="4BED1BA5">
      <w:pPr>
        <w:widowControl w:val="0"/>
        <w:ind w:firstLine="720"/>
        <w:jc w:val="both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>Для командного зачета в турнирах «А», «В» и «С» итоги будут подводиться по результатам выступления двух лучших мальчиков и одной девочки.</w:t>
      </w:r>
    </w:p>
    <w:p w14:paraId="617CA474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r>
        <w:rPr>
          <w:bCs/>
          <w:sz w:val="28"/>
          <w:szCs w:val="28"/>
          <w:lang w:eastAsia="en-US"/>
        </w:rPr>
        <w:t>При равенстве очков лучший результат будут определять дополнительные показатели:</w:t>
      </w:r>
    </w:p>
    <w:p w14:paraId="7D484A81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– коэффициент Бухгольца;</w:t>
      </w:r>
    </w:p>
    <w:p w14:paraId="228FA9B1">
      <w:pPr>
        <w:widowControl w:val="0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– результат личной встречи; </w:t>
      </w:r>
    </w:p>
    <w:p w14:paraId="7737F3DA">
      <w:pPr>
        <w:widowControl w:val="0"/>
        <w:ind w:firstLine="720"/>
        <w:jc w:val="both"/>
        <w:rPr>
          <w:bCs/>
          <w:sz w:val="28"/>
          <w:szCs w:val="28"/>
          <w:lang w:eastAsia="en-US"/>
        </w:rPr>
      </w:pPr>
      <w:r>
        <w:rPr>
          <w:color w:val="000000"/>
          <w:spacing w:val="1"/>
          <w:sz w:val="28"/>
          <w:szCs w:val="28"/>
        </w:rPr>
        <w:t>– усеченный коэффициент Бухгольца без одного худшего результата.</w:t>
      </w:r>
    </w:p>
    <w:p w14:paraId="2A6CC09F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Для командного зачета в турнире «</w:t>
      </w:r>
      <w:r>
        <w:rPr>
          <w:bCs/>
          <w:sz w:val="28"/>
          <w:szCs w:val="28"/>
          <w:lang w:val="en-US" w:eastAsia="en-US"/>
        </w:rPr>
        <w:t>D</w:t>
      </w:r>
      <w:r>
        <w:rPr>
          <w:bCs/>
          <w:sz w:val="28"/>
          <w:szCs w:val="28"/>
          <w:lang w:eastAsia="en-US"/>
        </w:rPr>
        <w:t>»</w:t>
      </w:r>
      <w:r>
        <w:t xml:space="preserve"> </w:t>
      </w:r>
      <w:r>
        <w:rPr>
          <w:bCs/>
          <w:sz w:val="28"/>
          <w:szCs w:val="28"/>
          <w:lang w:eastAsia="en-US"/>
        </w:rPr>
        <w:t>места определяются по наибольшей сумме очков, набранных всеми участниками команды во всех матчах.</w:t>
      </w:r>
    </w:p>
    <w:p w14:paraId="759F9CE5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В случае равенства очков у двух или более команд, места определяются по следующим дополнительным показателям (в порядке убывания значимости):</w:t>
      </w:r>
    </w:p>
    <w:p w14:paraId="2F014433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по большему числу набранных командных очков (выигрыш – 2 очка, ничья – 1 очко, поражение – 0 очков);</w:t>
      </w:r>
    </w:p>
    <w:p w14:paraId="045E9B40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по результату матча между собой;</w:t>
      </w:r>
    </w:p>
    <w:p w14:paraId="67318864">
      <w:pPr>
        <w:pStyle w:val="219"/>
        <w:ind w:firstLine="720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- по командному коэффициенту Бухгольца.</w:t>
      </w:r>
    </w:p>
    <w:p w14:paraId="76D0B596">
      <w:pPr>
        <w:pStyle w:val="219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 каждом этапе «Детской шахматной лиги» клубам будут начисляться очки, в зависимости от занятого места в турнирах «А», «В» и «С». Для турнира «</w:t>
      </w:r>
      <w:r>
        <w:rPr>
          <w:color w:val="000000"/>
          <w:spacing w:val="1"/>
          <w:sz w:val="28"/>
          <w:szCs w:val="28"/>
          <w:lang w:val="en-US"/>
        </w:rPr>
        <w:t>D</w:t>
      </w:r>
      <w:r>
        <w:rPr>
          <w:color w:val="000000"/>
          <w:spacing w:val="1"/>
          <w:sz w:val="28"/>
          <w:szCs w:val="28"/>
        </w:rPr>
        <w:t>» очки начисляются за выступление лучшей команды, представляющей клуб.</w:t>
      </w:r>
    </w:p>
    <w:p w14:paraId="294EF202">
      <w:pPr>
        <w:pStyle w:val="219"/>
        <w:ind w:firstLine="720"/>
        <w:jc w:val="both"/>
        <w:rPr>
          <w:color w:val="000000"/>
          <w:spacing w:val="1"/>
          <w:sz w:val="28"/>
          <w:szCs w:val="28"/>
        </w:rPr>
      </w:pPr>
    </w:p>
    <w:p w14:paraId="3AE9DDFA">
      <w:pPr>
        <w:widowControl w:val="0"/>
        <w:ind w:firstLine="720"/>
        <w:jc w:val="both"/>
        <w:rPr>
          <w:color w:val="000000"/>
          <w:spacing w:val="1"/>
          <w:sz w:val="18"/>
          <w:szCs w:val="18"/>
        </w:rPr>
      </w:pPr>
      <w:r>
        <w:rPr>
          <w:color w:val="000000"/>
          <w:spacing w:val="1"/>
          <w:sz w:val="28"/>
          <w:szCs w:val="28"/>
        </w:rPr>
        <w:t>Таблица начисления очков по результатам одного этапа</w:t>
      </w:r>
      <w:r>
        <w:rPr>
          <w:b/>
          <w:bCs/>
          <w:color w:val="000000"/>
          <w:spacing w:val="1"/>
          <w:sz w:val="28"/>
          <w:szCs w:val="28"/>
        </w:rPr>
        <w:t>:</w:t>
      </w:r>
      <w:r>
        <w:rPr>
          <w:color w:val="000000"/>
          <w:spacing w:val="1"/>
          <w:sz w:val="28"/>
          <w:szCs w:val="28"/>
        </w:rPr>
        <w:br w:type="textWrapping"/>
      </w:r>
    </w:p>
    <w:tbl>
      <w:tblPr>
        <w:tblStyle w:val="4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576"/>
        <w:gridCol w:w="655"/>
        <w:gridCol w:w="655"/>
        <w:gridCol w:w="655"/>
        <w:gridCol w:w="655"/>
        <w:gridCol w:w="651"/>
        <w:gridCol w:w="651"/>
        <w:gridCol w:w="651"/>
        <w:gridCol w:w="651"/>
        <w:gridCol w:w="656"/>
        <w:gridCol w:w="656"/>
        <w:gridCol w:w="656"/>
        <w:gridCol w:w="656"/>
        <w:gridCol w:w="656"/>
      </w:tblGrid>
      <w:tr w14:paraId="4AF01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B34A6BF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Место</w:t>
            </w:r>
          </w:p>
        </w:tc>
        <w:tc>
          <w:tcPr>
            <w:tcW w:w="576" w:type="dxa"/>
          </w:tcPr>
          <w:p w14:paraId="498497B2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655" w:type="dxa"/>
          </w:tcPr>
          <w:p w14:paraId="07AA21B0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655" w:type="dxa"/>
          </w:tcPr>
          <w:p w14:paraId="2F90985A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655" w:type="dxa"/>
          </w:tcPr>
          <w:p w14:paraId="3D9C74D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655" w:type="dxa"/>
          </w:tcPr>
          <w:p w14:paraId="1A56495D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651" w:type="dxa"/>
          </w:tcPr>
          <w:p w14:paraId="76C9D7C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651" w:type="dxa"/>
          </w:tcPr>
          <w:p w14:paraId="52DB7413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651" w:type="dxa"/>
          </w:tcPr>
          <w:p w14:paraId="0ED2D6D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651" w:type="dxa"/>
          </w:tcPr>
          <w:p w14:paraId="7A2EBDD4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656" w:type="dxa"/>
          </w:tcPr>
          <w:p w14:paraId="6866A3D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656" w:type="dxa"/>
          </w:tcPr>
          <w:p w14:paraId="60202325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656" w:type="dxa"/>
          </w:tcPr>
          <w:p w14:paraId="28BD2E6C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656" w:type="dxa"/>
          </w:tcPr>
          <w:p w14:paraId="4AEA21AA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656" w:type="dxa"/>
          </w:tcPr>
          <w:p w14:paraId="01653A3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</w:tr>
      <w:tr w14:paraId="45AE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4D6B3EA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Очки</w:t>
            </w:r>
          </w:p>
        </w:tc>
        <w:tc>
          <w:tcPr>
            <w:tcW w:w="576" w:type="dxa"/>
          </w:tcPr>
          <w:p w14:paraId="5798C4DE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25</w:t>
            </w:r>
          </w:p>
        </w:tc>
        <w:tc>
          <w:tcPr>
            <w:tcW w:w="655" w:type="dxa"/>
          </w:tcPr>
          <w:p w14:paraId="77EF4CE3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20</w:t>
            </w:r>
          </w:p>
        </w:tc>
        <w:tc>
          <w:tcPr>
            <w:tcW w:w="655" w:type="dxa"/>
          </w:tcPr>
          <w:p w14:paraId="57E059C2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655" w:type="dxa"/>
          </w:tcPr>
          <w:p w14:paraId="00ACFAD4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655" w:type="dxa"/>
          </w:tcPr>
          <w:p w14:paraId="7E30DC4B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651" w:type="dxa"/>
          </w:tcPr>
          <w:p w14:paraId="19308D9F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651" w:type="dxa"/>
          </w:tcPr>
          <w:p w14:paraId="5F5156B6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651" w:type="dxa"/>
          </w:tcPr>
          <w:p w14:paraId="0A3967E8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651" w:type="dxa"/>
          </w:tcPr>
          <w:p w14:paraId="17119CAE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656" w:type="dxa"/>
          </w:tcPr>
          <w:p w14:paraId="49563E65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656" w:type="dxa"/>
          </w:tcPr>
          <w:p w14:paraId="27CD9765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656" w:type="dxa"/>
          </w:tcPr>
          <w:p w14:paraId="7162ECBB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656" w:type="dxa"/>
          </w:tcPr>
          <w:p w14:paraId="0E3A9459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656" w:type="dxa"/>
          </w:tcPr>
          <w:p w14:paraId="79F1D98D">
            <w:pPr>
              <w:widowControl w:val="0"/>
              <w:ind w:right="-144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</w:tr>
    </w:tbl>
    <w:p w14:paraId="77EC82D5">
      <w:pPr>
        <w:pStyle w:val="219"/>
        <w:ind w:right="-144"/>
        <w:rPr>
          <w:bCs/>
          <w:sz w:val="22"/>
          <w:lang w:eastAsia="en-US"/>
        </w:rPr>
      </w:pPr>
    </w:p>
    <w:p w14:paraId="4F78154A">
      <w:pPr>
        <w:pStyle w:val="219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Финальные итоги зачета будут подводиться в конце года по итогам четырех этапов на церемонии закрытия четвертого этапа «Детской шахматной лиги».</w:t>
      </w:r>
    </w:p>
    <w:p w14:paraId="3B50C8F9">
      <w:pPr>
        <w:pStyle w:val="219"/>
        <w:ind w:right="-144"/>
        <w:rPr>
          <w:bCs/>
          <w:sz w:val="28"/>
          <w:szCs w:val="28"/>
          <w:lang w:eastAsia="en-US"/>
        </w:rPr>
      </w:pPr>
    </w:p>
    <w:p w14:paraId="54920A35">
      <w:pPr>
        <w:pStyle w:val="219"/>
        <w:numPr>
          <w:ilvl w:val="0"/>
          <w:numId w:val="3"/>
        </w:numPr>
        <w:ind w:right="-1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 Награждение</w:t>
      </w:r>
    </w:p>
    <w:p w14:paraId="61FB8311">
      <w:pPr>
        <w:pStyle w:val="219"/>
        <w:ind w:right="-144"/>
        <w:rPr>
          <w:bCs/>
          <w:sz w:val="22"/>
          <w:lang w:eastAsia="en-US"/>
        </w:rPr>
      </w:pPr>
    </w:p>
    <w:p w14:paraId="3B5BF1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Участники, занявшие 1-3 места по итогам всех этапов «Детской шахматной лиги», </w:t>
      </w:r>
      <w:r>
        <w:rPr>
          <w:sz w:val="28"/>
          <w:szCs w:val="28"/>
        </w:rPr>
        <w:t xml:space="preserve">отдельно среди мальчиков и девочек, в каждом из турниров </w:t>
      </w:r>
      <w:r>
        <w:rPr>
          <w:bCs/>
          <w:sz w:val="28"/>
          <w:szCs w:val="28"/>
        </w:rPr>
        <w:t>будут награждены кубками, медалями и дипломами.</w:t>
      </w:r>
    </w:p>
    <w:p w14:paraId="20EA32D3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Клубы, занявшие по итогам всех этапов 1–3 места, в каждом из турниров награждаются кубками и дипломами.</w:t>
      </w:r>
    </w:p>
    <w:p w14:paraId="5C43BB19">
      <w:pPr>
        <w:jc w:val="both"/>
        <w:rPr>
          <w:sz w:val="22"/>
        </w:rPr>
      </w:pPr>
    </w:p>
    <w:p w14:paraId="6E9BF8B8">
      <w:pPr>
        <w:pStyle w:val="219"/>
        <w:numPr>
          <w:ilvl w:val="0"/>
          <w:numId w:val="3"/>
        </w:numPr>
        <w:ind w:right="-142" w:firstLine="28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Контакты </w:t>
      </w:r>
    </w:p>
    <w:p w14:paraId="06C0BA8F">
      <w:pPr>
        <w:pStyle w:val="219"/>
        <w:ind w:left="280" w:right="-142"/>
        <w:rPr>
          <w:sz w:val="22"/>
        </w:rPr>
      </w:pPr>
    </w:p>
    <w:p w14:paraId="73BAAD45">
      <w:pPr>
        <w:pStyle w:val="219"/>
        <w:ind w:firstLine="72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Электронная почта: </w:t>
      </w:r>
      <w:r>
        <w:fldChar w:fldCharType="begin"/>
      </w:r>
      <w:r>
        <w:instrText xml:space="preserve"> HYPERLINK "mailto:reg@novosibirskchess.ru," \o "mailto:reg@novosibirskchess.ru," </w:instrText>
      </w:r>
      <w:r>
        <w:fldChar w:fldCharType="separate"/>
      </w:r>
      <w:r>
        <w:rPr>
          <w:rStyle w:val="16"/>
          <w:sz w:val="28"/>
          <w:szCs w:val="28"/>
          <w:lang w:val="en-US"/>
        </w:rPr>
        <w:t>reg</w:t>
      </w:r>
      <w:r>
        <w:rPr>
          <w:rStyle w:val="16"/>
          <w:sz w:val="28"/>
          <w:szCs w:val="28"/>
        </w:rPr>
        <w:t>@</w:t>
      </w:r>
      <w:r>
        <w:rPr>
          <w:rStyle w:val="16"/>
          <w:sz w:val="28"/>
          <w:szCs w:val="28"/>
          <w:lang w:val="en-US"/>
        </w:rPr>
        <w:t>novosibirskchess</w:t>
      </w:r>
      <w:r>
        <w:rPr>
          <w:rStyle w:val="16"/>
          <w:sz w:val="28"/>
          <w:szCs w:val="28"/>
        </w:rPr>
        <w:t>.</w:t>
      </w:r>
      <w:r>
        <w:rPr>
          <w:rStyle w:val="16"/>
          <w:sz w:val="28"/>
          <w:szCs w:val="28"/>
          <w:lang w:val="en-US"/>
        </w:rPr>
        <w:t>ru</w:t>
      </w:r>
      <w:r>
        <w:rPr>
          <w:rStyle w:val="16"/>
          <w:sz w:val="28"/>
          <w:szCs w:val="28"/>
        </w:rPr>
        <w:t>,</w:t>
      </w:r>
      <w:r>
        <w:rPr>
          <w:rStyle w:val="16"/>
          <w:sz w:val="28"/>
          <w:szCs w:val="28"/>
        </w:rPr>
        <w:fldChar w:fldCharType="end"/>
      </w:r>
      <w:r>
        <w:rPr>
          <w:sz w:val="28"/>
          <w:szCs w:val="28"/>
        </w:rPr>
        <w:t xml:space="preserve"> телефон: 8(383) 363-10-51.</w:t>
      </w:r>
    </w:p>
    <w:sectPr>
      <w:footerReference r:id="rId3" w:type="default"/>
      <w:pgSz w:w="11906" w:h="16838"/>
      <w:pgMar w:top="1134" w:right="567" w:bottom="1134" w:left="1417" w:header="420" w:footer="301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Erik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imes New Roman,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4013"/>
    </w:sdtPr>
    <w:sdtContent>
      <w:p w14:paraId="3FE92FA1">
        <w:pPr>
          <w:pStyle w:val="21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15</w:t>
        </w:r>
        <w:r>
          <w:fldChar w:fldCharType="end"/>
        </w:r>
      </w:p>
    </w:sdtContent>
  </w:sdt>
  <w:p w14:paraId="35FCA48C">
    <w:pPr>
      <w:pStyle w:val="21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60297"/>
    <w:multiLevelType w:val="multilevel"/>
    <w:tmpl w:val="00160297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nsid w:val="42963F51"/>
    <w:multiLevelType w:val="multilevel"/>
    <w:tmpl w:val="42963F51"/>
    <w:lvl w:ilvl="0" w:tentative="0">
      <w:start w:val="1"/>
      <w:numFmt w:val="bullet"/>
      <w:lvlText w:val="•"/>
      <w:lvlJc w:val="left"/>
      <w:pPr>
        <w:ind w:left="283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>
    <w:nsid w:val="51FE4C31"/>
    <w:multiLevelType w:val="multilevel"/>
    <w:tmpl w:val="51FE4C31"/>
    <w:lvl w:ilvl="0" w:tentative="0">
      <w:start w:val="1"/>
      <w:numFmt w:val="bullet"/>
      <w:lvlText w:val="•"/>
      <w:lvlJc w:val="left"/>
      <w:pPr>
        <w:ind w:left="283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0A"/>
    <w:rsid w:val="000873E0"/>
    <w:rsid w:val="0044693B"/>
    <w:rsid w:val="0060738A"/>
    <w:rsid w:val="009B64AA"/>
    <w:rsid w:val="00F63C0A"/>
    <w:rsid w:val="25B2198A"/>
    <w:rsid w:val="7B1D19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character" w:styleId="16">
    <w:name w:val="Hyperlink"/>
    <w:qFormat/>
    <w:uiPriority w:val="0"/>
    <w:rPr>
      <w:rFonts w:cs="Times New Roman"/>
      <w:color w:val="0000FF"/>
      <w:u w:val="single"/>
    </w:rPr>
  </w:style>
  <w:style w:type="character" w:styleId="17">
    <w:name w:val="Strong"/>
    <w:qFormat/>
    <w:uiPriority w:val="22"/>
    <w:rPr>
      <w:b/>
      <w:bCs/>
    </w:rPr>
  </w:style>
  <w:style w:type="paragraph" w:styleId="18">
    <w:name w:val="Balloon Text"/>
    <w:basedOn w:val="1"/>
    <w:link w:val="218"/>
    <w:qFormat/>
    <w:uiPriority w:val="0"/>
    <w:rPr>
      <w:rFonts w:ascii="Tahoma" w:hAnsi="Tahoma" w:cs="Tahoma"/>
      <w:sz w:val="16"/>
      <w:szCs w:val="16"/>
    </w:rPr>
  </w:style>
  <w:style w:type="paragraph" w:styleId="19">
    <w:name w:val="Body Text Indent 3"/>
    <w:basedOn w:val="1"/>
    <w:qFormat/>
    <w:uiPriority w:val="0"/>
    <w:pPr>
      <w:ind w:firstLine="567"/>
    </w:pPr>
    <w:rPr>
      <w:rFonts w:ascii="Arial" w:hAnsi="Arial"/>
      <w:b/>
      <w:sz w:val="24"/>
    </w:rPr>
  </w:style>
  <w:style w:type="paragraph" w:styleId="20">
    <w:name w:val="endnote text"/>
    <w:basedOn w:val="1"/>
    <w:link w:val="157"/>
    <w:semiHidden/>
    <w:unhideWhenUsed/>
    <w:uiPriority w:val="99"/>
  </w:style>
  <w:style w:type="paragraph" w:styleId="21">
    <w:name w:val="caption"/>
    <w:basedOn w:val="1"/>
    <w:next w:val="1"/>
    <w:link w:val="49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2">
    <w:name w:val="annotation text"/>
    <w:basedOn w:val="1"/>
    <w:link w:val="227"/>
    <w:semiHidden/>
    <w:unhideWhenUsed/>
    <w:qFormat/>
    <w:uiPriority w:val="99"/>
  </w:style>
  <w:style w:type="paragraph" w:styleId="23">
    <w:name w:val="annotation subject"/>
    <w:basedOn w:val="22"/>
    <w:next w:val="22"/>
    <w:link w:val="228"/>
    <w:semiHidden/>
    <w:unhideWhenUsed/>
    <w:qFormat/>
    <w:uiPriority w:val="0"/>
    <w:rPr>
      <w:b/>
      <w:bCs/>
    </w:rPr>
  </w:style>
  <w:style w:type="paragraph" w:styleId="24">
    <w:name w:val="footnote text"/>
    <w:basedOn w:val="1"/>
    <w:link w:val="207"/>
    <w:semiHidden/>
    <w:unhideWhenUsed/>
    <w:qFormat/>
    <w:uiPriority w:val="99"/>
    <w:pPr>
      <w:spacing w:after="40"/>
    </w:pPr>
    <w:rPr>
      <w:sz w:val="18"/>
    </w:rPr>
  </w:style>
  <w:style w:type="paragraph" w:styleId="25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6">
    <w:name w:val="header"/>
    <w:basedOn w:val="1"/>
    <w:link w:val="230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27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8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9">
    <w:name w:val="Body Text"/>
    <w:basedOn w:val="1"/>
    <w:link w:val="224"/>
    <w:unhideWhenUsed/>
    <w:qFormat/>
    <w:uiPriority w:val="0"/>
    <w:pPr>
      <w:spacing w:after="120"/>
    </w:pPr>
  </w:style>
  <w:style w:type="paragraph" w:styleId="30">
    <w:name w:val="toc 1"/>
    <w:basedOn w:val="1"/>
    <w:next w:val="1"/>
    <w:unhideWhenUsed/>
    <w:qFormat/>
    <w:uiPriority w:val="39"/>
    <w:pPr>
      <w:spacing w:after="57"/>
    </w:pPr>
  </w:style>
  <w:style w:type="paragraph" w:styleId="31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32">
    <w:name w:val="table of figures"/>
    <w:basedOn w:val="1"/>
    <w:next w:val="1"/>
    <w:unhideWhenUsed/>
    <w:uiPriority w:val="99"/>
  </w:style>
  <w:style w:type="paragraph" w:styleId="33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4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5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6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7">
    <w:name w:val="Body Text Indent"/>
    <w:basedOn w:val="1"/>
    <w:link w:val="209"/>
    <w:qFormat/>
    <w:uiPriority w:val="0"/>
    <w:pPr>
      <w:ind w:firstLine="567"/>
    </w:pPr>
    <w:rPr>
      <w:rFonts w:ascii="Arial" w:hAnsi="Arial"/>
      <w:b/>
      <w:i/>
      <w:sz w:val="36"/>
    </w:rPr>
  </w:style>
  <w:style w:type="paragraph" w:styleId="38">
    <w:name w:val="Title"/>
    <w:basedOn w:val="1"/>
    <w:next w:val="1"/>
    <w:link w:val="17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9">
    <w:name w:val="footer"/>
    <w:basedOn w:val="1"/>
    <w:link w:val="23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40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41">
    <w:name w:val="Body Text Indent 2"/>
    <w:basedOn w:val="1"/>
    <w:qFormat/>
    <w:uiPriority w:val="0"/>
    <w:pPr>
      <w:ind w:firstLine="567"/>
    </w:pPr>
    <w:rPr>
      <w:rFonts w:ascii="Arial" w:hAnsi="Arial"/>
      <w:sz w:val="24"/>
    </w:rPr>
  </w:style>
  <w:style w:type="paragraph" w:styleId="42">
    <w:name w:val="Subtitle"/>
    <w:basedOn w:val="1"/>
    <w:next w:val="1"/>
    <w:link w:val="179"/>
    <w:qFormat/>
    <w:uiPriority w:val="11"/>
    <w:pPr>
      <w:spacing w:before="200" w:after="200"/>
    </w:pPr>
    <w:rPr>
      <w:sz w:val="24"/>
      <w:szCs w:val="24"/>
    </w:rPr>
  </w:style>
  <w:style w:type="paragraph" w:styleId="43">
    <w:name w:val="Block Text"/>
    <w:basedOn w:val="1"/>
    <w:qFormat/>
    <w:uiPriority w:val="0"/>
    <w:pPr>
      <w:ind w:left="-21" w:right="-21"/>
      <w:jc w:val="center"/>
    </w:pPr>
    <w:rPr>
      <w:color w:val="000000"/>
      <w:sz w:val="24"/>
      <w:szCs w:val="24"/>
    </w:rPr>
  </w:style>
  <w:style w:type="table" w:styleId="44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5">
    <w:name w:val="Title Char"/>
    <w:basedOn w:val="11"/>
    <w:uiPriority w:val="10"/>
    <w:rPr>
      <w:sz w:val="48"/>
      <w:szCs w:val="48"/>
    </w:rPr>
  </w:style>
  <w:style w:type="character" w:customStyle="1" w:styleId="46">
    <w:name w:val="Subtitle Char"/>
    <w:basedOn w:val="11"/>
    <w:uiPriority w:val="11"/>
    <w:rPr>
      <w:sz w:val="24"/>
      <w:szCs w:val="24"/>
    </w:rPr>
  </w:style>
  <w:style w:type="character" w:customStyle="1" w:styleId="47">
    <w:name w:val="Quote Char"/>
    <w:qFormat/>
    <w:uiPriority w:val="29"/>
    <w:rPr>
      <w:i/>
    </w:rPr>
  </w:style>
  <w:style w:type="character" w:customStyle="1" w:styleId="48">
    <w:name w:val="Intense Quote Char"/>
    <w:qFormat/>
    <w:uiPriority w:val="30"/>
    <w:rPr>
      <w:i/>
    </w:rPr>
  </w:style>
  <w:style w:type="character" w:customStyle="1" w:styleId="49">
    <w:name w:val="Название объекта Знак"/>
    <w:basedOn w:val="11"/>
    <w:link w:val="21"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0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1">
    <w:name w:val="Plain Table 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2">
    <w:name w:val="Plain Table 2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3">
    <w:name w:val="Plain Table 3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4">
    <w:name w:val="Plain Table 4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5">
    <w:name w:val="Plain Table 5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Grid Table 1 Light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7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58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59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0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1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2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3">
    <w:name w:val="Grid Table 2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4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5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66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67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68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69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0">
    <w:name w:val="Grid Table 3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2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3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4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5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6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7">
    <w:name w:val="Grid Table 4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79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0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1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2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3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4">
    <w:name w:val="Grid Table 5 Dark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5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86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87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88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89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0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1">
    <w:name w:val="Grid Table 6 Colorful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2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3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4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5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6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97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98">
    <w:name w:val="Grid Table 7 Colorful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2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5">
    <w:name w:val="List Table 1 Light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06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07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08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09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0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1">
    <w:name w:val="List Table 1 Light - Accent 6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2">
    <w:name w:val="List Table 2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4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5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16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17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18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19">
    <w:name w:val="List Table 3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0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1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2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3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4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5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6">
    <w:name w:val="List Table 4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7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8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9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0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1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2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3">
    <w:name w:val="List Table 5 Dark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4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5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36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37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38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39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0">
    <w:name w:val="List Table 6 Colorful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1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2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3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4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5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6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7 Colorful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48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9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ned - Accent"/>
    <w:basedOn w:val="12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5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character" w:customStyle="1" w:styleId="156">
    <w:name w:val="Footnote Text Char"/>
    <w:uiPriority w:val="99"/>
    <w:rPr>
      <w:sz w:val="18"/>
    </w:rPr>
  </w:style>
  <w:style w:type="character" w:customStyle="1" w:styleId="157">
    <w:name w:val="Текст концевой сноски Знак"/>
    <w:link w:val="20"/>
    <w:uiPriority w:val="99"/>
    <w:rPr>
      <w:sz w:val="20"/>
    </w:rPr>
  </w:style>
  <w:style w:type="paragraph" w:customStyle="1" w:styleId="158">
    <w:name w:val="TOC Heading"/>
    <w:unhideWhenUsed/>
    <w:uiPriority w:val="39"/>
    <w:rPr>
      <w:rFonts w:ascii="Times New Roman" w:hAnsi="Times New Roman" w:eastAsia="SimSun" w:cs="Times New Roman"/>
      <w:lang w:val="ru-RU" w:eastAsia="ru-RU" w:bidi="ar-SA"/>
    </w:rPr>
  </w:style>
  <w:style w:type="character" w:customStyle="1" w:styleId="159">
    <w:name w:val="Heading 1 Char"/>
    <w:basedOn w:val="11"/>
    <w:link w:val="160"/>
    <w:qFormat/>
    <w:uiPriority w:val="9"/>
    <w:rPr>
      <w:rFonts w:ascii="Arial" w:hAnsi="Arial" w:eastAsia="Arial" w:cs="Arial"/>
      <w:sz w:val="40"/>
      <w:szCs w:val="40"/>
    </w:rPr>
  </w:style>
  <w:style w:type="paragraph" w:customStyle="1" w:styleId="160">
    <w:name w:val="Заголовок 11"/>
    <w:basedOn w:val="1"/>
    <w:next w:val="1"/>
    <w:link w:val="159"/>
    <w:qFormat/>
    <w:uiPriority w:val="0"/>
    <w:pPr>
      <w:keepNext/>
      <w:jc w:val="center"/>
      <w:outlineLvl w:val="0"/>
    </w:pPr>
    <w:rPr>
      <w:rFonts w:ascii="Arial" w:hAnsi="Arial"/>
      <w:i/>
      <w:sz w:val="48"/>
    </w:rPr>
  </w:style>
  <w:style w:type="character" w:customStyle="1" w:styleId="161">
    <w:name w:val="Heading 2 Char"/>
    <w:basedOn w:val="11"/>
    <w:link w:val="162"/>
    <w:qFormat/>
    <w:uiPriority w:val="9"/>
    <w:rPr>
      <w:rFonts w:ascii="Arial" w:hAnsi="Arial" w:eastAsia="Arial" w:cs="Arial"/>
      <w:sz w:val="34"/>
    </w:rPr>
  </w:style>
  <w:style w:type="paragraph" w:customStyle="1" w:styleId="162">
    <w:name w:val="Заголовок 21"/>
    <w:basedOn w:val="1"/>
    <w:next w:val="1"/>
    <w:link w:val="161"/>
    <w:qFormat/>
    <w:uiPriority w:val="0"/>
    <w:pPr>
      <w:keepNext/>
      <w:jc w:val="center"/>
      <w:outlineLvl w:val="1"/>
    </w:pPr>
    <w:rPr>
      <w:rFonts w:ascii="Arial" w:hAnsi="Arial"/>
      <w:i/>
      <w:sz w:val="40"/>
    </w:rPr>
  </w:style>
  <w:style w:type="character" w:customStyle="1" w:styleId="163">
    <w:name w:val="Heading 3 Char"/>
    <w:basedOn w:val="11"/>
    <w:link w:val="164"/>
    <w:qFormat/>
    <w:uiPriority w:val="9"/>
    <w:rPr>
      <w:rFonts w:ascii="Arial" w:hAnsi="Arial" w:eastAsia="Arial" w:cs="Arial"/>
      <w:sz w:val="30"/>
      <w:szCs w:val="30"/>
    </w:rPr>
  </w:style>
  <w:style w:type="paragraph" w:customStyle="1" w:styleId="164">
    <w:name w:val="Заголовок 31"/>
    <w:basedOn w:val="1"/>
    <w:next w:val="1"/>
    <w:link w:val="163"/>
    <w:qFormat/>
    <w:uiPriority w:val="0"/>
    <w:pPr>
      <w:keepNext/>
      <w:jc w:val="center"/>
      <w:outlineLvl w:val="2"/>
    </w:pPr>
    <w:rPr>
      <w:rFonts w:ascii="Erika" w:hAnsi="Erika"/>
      <w:i/>
      <w:sz w:val="32"/>
    </w:rPr>
  </w:style>
  <w:style w:type="character" w:customStyle="1" w:styleId="165">
    <w:name w:val="Heading 4 Char"/>
    <w:basedOn w:val="11"/>
    <w:link w:val="166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customStyle="1" w:styleId="166">
    <w:name w:val="Заголовок 41"/>
    <w:basedOn w:val="1"/>
    <w:next w:val="1"/>
    <w:link w:val="165"/>
    <w:qFormat/>
    <w:uiPriority w:val="0"/>
    <w:pPr>
      <w:keepNext/>
      <w:jc w:val="center"/>
      <w:outlineLvl w:val="3"/>
    </w:pPr>
    <w:rPr>
      <w:rFonts w:ascii="Arial" w:hAnsi="Arial"/>
      <w:i/>
    </w:rPr>
  </w:style>
  <w:style w:type="character" w:customStyle="1" w:styleId="167">
    <w:name w:val="Heading 5 Char"/>
    <w:basedOn w:val="11"/>
    <w:link w:val="168"/>
    <w:qFormat/>
    <w:uiPriority w:val="9"/>
    <w:rPr>
      <w:rFonts w:ascii="Arial" w:hAnsi="Arial" w:eastAsia="Arial" w:cs="Arial"/>
      <w:b/>
      <w:bCs/>
      <w:sz w:val="24"/>
      <w:szCs w:val="24"/>
    </w:rPr>
  </w:style>
  <w:style w:type="paragraph" w:customStyle="1" w:styleId="168">
    <w:name w:val="Заголовок 51"/>
    <w:basedOn w:val="1"/>
    <w:next w:val="1"/>
    <w:link w:val="167"/>
    <w:qFormat/>
    <w:uiPriority w:val="0"/>
    <w:pPr>
      <w:keepNext/>
      <w:jc w:val="center"/>
      <w:outlineLvl w:val="4"/>
    </w:pPr>
    <w:rPr>
      <w:b/>
      <w:caps/>
      <w:sz w:val="24"/>
    </w:rPr>
  </w:style>
  <w:style w:type="character" w:customStyle="1" w:styleId="169">
    <w:name w:val="Heading 6 Char"/>
    <w:basedOn w:val="11"/>
    <w:link w:val="170"/>
    <w:qFormat/>
    <w:uiPriority w:val="9"/>
    <w:rPr>
      <w:rFonts w:ascii="Arial" w:hAnsi="Arial" w:eastAsia="Arial" w:cs="Arial"/>
      <w:b/>
      <w:bCs/>
      <w:sz w:val="22"/>
      <w:szCs w:val="22"/>
    </w:rPr>
  </w:style>
  <w:style w:type="paragraph" w:customStyle="1" w:styleId="170">
    <w:name w:val="Заголовок 61"/>
    <w:basedOn w:val="1"/>
    <w:next w:val="1"/>
    <w:link w:val="169"/>
    <w:qFormat/>
    <w:uiPriority w:val="0"/>
    <w:pPr>
      <w:keepNext/>
      <w:ind w:firstLine="567"/>
      <w:jc w:val="right"/>
      <w:outlineLvl w:val="5"/>
    </w:pPr>
    <w:rPr>
      <w:rFonts w:ascii="Arial" w:hAnsi="Arial"/>
      <w:b/>
      <w:i/>
      <w:sz w:val="28"/>
    </w:rPr>
  </w:style>
  <w:style w:type="character" w:customStyle="1" w:styleId="171">
    <w:name w:val="Heading 7 Char"/>
    <w:basedOn w:val="11"/>
    <w:link w:val="17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172">
    <w:name w:val="Заголовок 71"/>
    <w:basedOn w:val="1"/>
    <w:next w:val="1"/>
    <w:link w:val="171"/>
    <w:qFormat/>
    <w:uiPriority w:val="0"/>
    <w:pPr>
      <w:keepNext/>
      <w:ind w:firstLine="567"/>
      <w:jc w:val="center"/>
      <w:outlineLvl w:val="6"/>
    </w:pPr>
    <w:rPr>
      <w:sz w:val="32"/>
    </w:rPr>
  </w:style>
  <w:style w:type="character" w:customStyle="1" w:styleId="173">
    <w:name w:val="Heading 8 Char"/>
    <w:basedOn w:val="11"/>
    <w:link w:val="174"/>
    <w:qFormat/>
    <w:uiPriority w:val="9"/>
    <w:rPr>
      <w:rFonts w:ascii="Arial" w:hAnsi="Arial" w:eastAsia="Arial" w:cs="Arial"/>
      <w:i/>
      <w:iCs/>
      <w:sz w:val="22"/>
      <w:szCs w:val="22"/>
    </w:rPr>
  </w:style>
  <w:style w:type="paragraph" w:customStyle="1" w:styleId="174">
    <w:name w:val="Заголовок 81"/>
    <w:basedOn w:val="1"/>
    <w:next w:val="1"/>
    <w:link w:val="173"/>
    <w:qFormat/>
    <w:uiPriority w:val="0"/>
    <w:pPr>
      <w:keepNext/>
      <w:jc w:val="center"/>
      <w:outlineLvl w:val="7"/>
    </w:pPr>
    <w:rPr>
      <w:sz w:val="32"/>
    </w:rPr>
  </w:style>
  <w:style w:type="character" w:customStyle="1" w:styleId="175">
    <w:name w:val="Heading 9 Char"/>
    <w:basedOn w:val="11"/>
    <w:link w:val="176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customStyle="1" w:styleId="176">
    <w:name w:val="Заголовок 91"/>
    <w:basedOn w:val="1"/>
    <w:next w:val="1"/>
    <w:link w:val="175"/>
    <w:qFormat/>
    <w:uiPriority w:val="0"/>
    <w:pPr>
      <w:keepNext/>
      <w:ind w:firstLine="567"/>
      <w:jc w:val="both"/>
      <w:outlineLvl w:val="8"/>
    </w:pPr>
    <w:rPr>
      <w:rFonts w:ascii="Arial" w:hAnsi="Arial"/>
      <w:i/>
      <w:sz w:val="28"/>
    </w:rPr>
  </w:style>
  <w:style w:type="paragraph" w:styleId="177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Cs w:val="22"/>
      <w:lang w:val="ru-RU" w:eastAsia="ru-RU" w:bidi="ar-SA"/>
    </w:rPr>
  </w:style>
  <w:style w:type="character" w:customStyle="1" w:styleId="178">
    <w:name w:val="Заголовок Знак"/>
    <w:basedOn w:val="11"/>
    <w:link w:val="38"/>
    <w:qFormat/>
    <w:uiPriority w:val="10"/>
    <w:rPr>
      <w:sz w:val="48"/>
      <w:szCs w:val="48"/>
    </w:rPr>
  </w:style>
  <w:style w:type="character" w:customStyle="1" w:styleId="179">
    <w:name w:val="Подзаголовок Знак"/>
    <w:basedOn w:val="11"/>
    <w:link w:val="42"/>
    <w:qFormat/>
    <w:uiPriority w:val="11"/>
    <w:rPr>
      <w:sz w:val="24"/>
      <w:szCs w:val="24"/>
    </w:rPr>
  </w:style>
  <w:style w:type="paragraph" w:styleId="180">
    <w:name w:val="Quote"/>
    <w:basedOn w:val="1"/>
    <w:next w:val="1"/>
    <w:link w:val="181"/>
    <w:qFormat/>
    <w:uiPriority w:val="29"/>
    <w:pPr>
      <w:ind w:left="720" w:right="720"/>
    </w:pPr>
    <w:rPr>
      <w:i/>
    </w:rPr>
  </w:style>
  <w:style w:type="character" w:customStyle="1" w:styleId="181">
    <w:name w:val="Цитата 2 Знак"/>
    <w:link w:val="180"/>
    <w:qFormat/>
    <w:uiPriority w:val="29"/>
    <w:rPr>
      <w:i/>
    </w:rPr>
  </w:style>
  <w:style w:type="paragraph" w:styleId="182">
    <w:name w:val="Intense Quote"/>
    <w:basedOn w:val="1"/>
    <w:next w:val="1"/>
    <w:link w:val="18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183">
    <w:name w:val="Выделенная цитата Знак"/>
    <w:link w:val="182"/>
    <w:qFormat/>
    <w:uiPriority w:val="30"/>
    <w:rPr>
      <w:i/>
    </w:rPr>
  </w:style>
  <w:style w:type="character" w:customStyle="1" w:styleId="184">
    <w:name w:val="Header Char"/>
    <w:basedOn w:val="11"/>
    <w:qFormat/>
    <w:uiPriority w:val="99"/>
  </w:style>
  <w:style w:type="character" w:customStyle="1" w:styleId="185">
    <w:name w:val="Footer Char"/>
    <w:basedOn w:val="11"/>
    <w:qFormat/>
    <w:uiPriority w:val="99"/>
  </w:style>
  <w:style w:type="table" w:customStyle="1" w:styleId="186">
    <w:name w:val="Lined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</w:style>
  <w:style w:type="table" w:customStyle="1" w:styleId="187">
    <w:name w:val="Lined - Accent 1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</w:style>
  <w:style w:type="table" w:customStyle="1" w:styleId="188">
    <w:name w:val="Lined - Accent 2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</w:style>
  <w:style w:type="table" w:customStyle="1" w:styleId="189">
    <w:name w:val="Lined - Accent 3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</w:style>
  <w:style w:type="table" w:customStyle="1" w:styleId="190">
    <w:name w:val="Lined - Accent 4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</w:style>
  <w:style w:type="table" w:customStyle="1" w:styleId="191">
    <w:name w:val="Lined - Accent 5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</w:style>
  <w:style w:type="table" w:customStyle="1" w:styleId="192">
    <w:name w:val="Lined - Accent 6"/>
    <w:basedOn w:val="12"/>
    <w:qFormat/>
    <w:uiPriority w:val="99"/>
    <w:rPr>
      <w:color w:val="404040"/>
    </w:rPr>
    <w:tblPr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</w:style>
  <w:style w:type="table" w:customStyle="1" w:styleId="193">
    <w:name w:val="Bordered"/>
    <w:basedOn w:val="12"/>
    <w:qFormat/>
    <w:uiPriority w:val="99"/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</w:style>
  <w:style w:type="table" w:customStyle="1" w:styleId="194">
    <w:name w:val="Bordered - Accent 1"/>
    <w:basedOn w:val="12"/>
    <w:qFormat/>
    <w:uiPriority w:val="99"/>
    <w:tblPr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8CCE4" w:sz="4" w:space="0"/>
          <w:left w:val="single" w:color="B8CCE4" w:sz="4" w:space="0"/>
          <w:bottom w:val="single" w:color="B8CCE4" w:sz="4" w:space="0"/>
          <w:right w:val="single" w:color="B8CCE4" w:sz="4" w:space="0"/>
        </w:tcBorders>
      </w:tcPr>
    </w:tblStylePr>
  </w:style>
  <w:style w:type="table" w:customStyle="1" w:styleId="195">
    <w:name w:val="Bordered - Accent 2"/>
    <w:basedOn w:val="12"/>
    <w:qFormat/>
    <w:uiPriority w:val="99"/>
    <w:tblPr>
      <w:tblBorders>
        <w:top w:val="single" w:color="E5B8B7" w:sz="4" w:space="0"/>
        <w:left w:val="single" w:color="E5B8B7" w:sz="4" w:space="0"/>
        <w:bottom w:val="single" w:color="E5B8B7" w:sz="4" w:space="0"/>
        <w:right w:val="single" w:color="E5B8B7" w:sz="4" w:space="0"/>
        <w:insideH w:val="single" w:color="E5B8B7" w:sz="4" w:space="0"/>
        <w:insideV w:val="single" w:color="E5B8B7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sz="4" w:space="0"/>
          <w:left w:val="single" w:color="E5B8B7" w:sz="4" w:space="0"/>
          <w:bottom w:val="single" w:color="E5B8B7" w:sz="4" w:space="0"/>
          <w:right w:val="single" w:color="E5B8B7" w:sz="4" w:space="0"/>
        </w:tcBorders>
      </w:tcPr>
    </w:tblStylePr>
  </w:style>
  <w:style w:type="table" w:customStyle="1" w:styleId="196">
    <w:name w:val="Bordered - Accent 3"/>
    <w:basedOn w:val="12"/>
    <w:qFormat/>
    <w:uiPriority w:val="99"/>
    <w:tblPr>
      <w:tblBorders>
        <w:top w:val="single" w:color="D6E3BC" w:sz="4" w:space="0"/>
        <w:left w:val="single" w:color="D6E3BC" w:sz="4" w:space="0"/>
        <w:bottom w:val="single" w:color="D6E3BC" w:sz="4" w:space="0"/>
        <w:right w:val="single" w:color="D6E3BC" w:sz="4" w:space="0"/>
        <w:insideH w:val="single" w:color="D6E3BC" w:sz="4" w:space="0"/>
        <w:insideV w:val="single" w:color="D6E3BC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C" w:sz="4" w:space="0"/>
          <w:left w:val="single" w:color="D6E3BC" w:sz="4" w:space="0"/>
          <w:bottom w:val="single" w:color="D6E3BC" w:sz="4" w:space="0"/>
          <w:right w:val="single" w:color="D6E3BC" w:sz="4" w:space="0"/>
        </w:tcBorders>
      </w:tcPr>
    </w:tblStylePr>
  </w:style>
  <w:style w:type="table" w:customStyle="1" w:styleId="197">
    <w:name w:val="Bordered - Accent 4"/>
    <w:basedOn w:val="12"/>
    <w:qFormat/>
    <w:uiPriority w:val="99"/>
    <w:tblPr>
      <w:tblBorders>
        <w:top w:val="single" w:color="CCC0D9" w:sz="4" w:space="0"/>
        <w:left w:val="single" w:color="CCC0D9" w:sz="4" w:space="0"/>
        <w:bottom w:val="single" w:color="CCC0D9" w:sz="4" w:space="0"/>
        <w:right w:val="single" w:color="CCC0D9" w:sz="4" w:space="0"/>
        <w:insideH w:val="single" w:color="CCC0D9" w:sz="4" w:space="0"/>
        <w:insideV w:val="single" w:color="CCC0D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CC0D9" w:sz="4" w:space="0"/>
          <w:left w:val="single" w:color="CCC0D9" w:sz="4" w:space="0"/>
          <w:bottom w:val="single" w:color="CCC0D9" w:sz="4" w:space="0"/>
          <w:right w:val="single" w:color="CCC0D9" w:sz="4" w:space="0"/>
        </w:tcBorders>
      </w:tcPr>
    </w:tblStylePr>
  </w:style>
  <w:style w:type="table" w:customStyle="1" w:styleId="198">
    <w:name w:val="Bordered - Accent 5"/>
    <w:basedOn w:val="12"/>
    <w:qFormat/>
    <w:uiPriority w:val="99"/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</w:style>
  <w:style w:type="table" w:customStyle="1" w:styleId="199">
    <w:name w:val="Bordered - Accent 6"/>
    <w:basedOn w:val="12"/>
    <w:qFormat/>
    <w:uiPriority w:val="99"/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</w:style>
  <w:style w:type="table" w:customStyle="1" w:styleId="200">
    <w:name w:val="Bordered &amp; Lined"/>
    <w:basedOn w:val="12"/>
    <w:qFormat/>
    <w:uiPriority w:val="99"/>
    <w:rPr>
      <w:color w:val="40404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</w:style>
  <w:style w:type="table" w:customStyle="1" w:styleId="201">
    <w:name w:val="Bordered &amp; Lined - Accent 1"/>
    <w:basedOn w:val="12"/>
    <w:qFormat/>
    <w:uiPriority w:val="99"/>
    <w:rPr>
      <w:color w:val="404040"/>
    </w:rPr>
    <w:tblPr>
      <w:tblBorders>
        <w:top w:val="single" w:color="1F497D" w:sz="4" w:space="0"/>
        <w:left w:val="single" w:color="1F497D" w:sz="4" w:space="0"/>
        <w:bottom w:val="single" w:color="1F497D" w:sz="4" w:space="0"/>
        <w:right w:val="single" w:color="1F497D" w:sz="4" w:space="0"/>
        <w:insideH w:val="single" w:color="1F497D" w:sz="4" w:space="0"/>
        <w:insideV w:val="single" w:color="1F497D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</w:style>
  <w:style w:type="table" w:customStyle="1" w:styleId="202">
    <w:name w:val="Bordered &amp; Lined - Accent 2"/>
    <w:basedOn w:val="12"/>
    <w:qFormat/>
    <w:uiPriority w:val="99"/>
    <w:rPr>
      <w:color w:val="404040"/>
    </w:rPr>
    <w:tblPr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</w:style>
  <w:style w:type="table" w:customStyle="1" w:styleId="203">
    <w:name w:val="Bordered &amp; Lined - Accent 3"/>
    <w:basedOn w:val="12"/>
    <w:qFormat/>
    <w:uiPriority w:val="99"/>
    <w:rPr>
      <w:color w:val="404040"/>
    </w:rPr>
    <w:tblPr>
      <w:tblBorders>
        <w:top w:val="single" w:color="76923C" w:sz="4" w:space="0"/>
        <w:left w:val="single" w:color="76923C" w:sz="4" w:space="0"/>
        <w:bottom w:val="single" w:color="76923C" w:sz="4" w:space="0"/>
        <w:right w:val="single" w:color="76923C" w:sz="4" w:space="0"/>
        <w:insideH w:val="single" w:color="76923C" w:sz="4" w:space="0"/>
        <w:insideV w:val="single" w:color="76923C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</w:style>
  <w:style w:type="table" w:customStyle="1" w:styleId="204">
    <w:name w:val="Bordered &amp; Lined - Accent 4"/>
    <w:basedOn w:val="12"/>
    <w:qFormat/>
    <w:uiPriority w:val="99"/>
    <w:rPr>
      <w:color w:val="404040"/>
    </w:rPr>
    <w:tblPr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</w:style>
  <w:style w:type="table" w:customStyle="1" w:styleId="205">
    <w:name w:val="Bordered &amp; Lined - Accent 5"/>
    <w:basedOn w:val="12"/>
    <w:qFormat/>
    <w:uiPriority w:val="99"/>
    <w:rPr>
      <w:color w:val="404040"/>
    </w:rPr>
    <w:tblPr>
      <w:tblBorders>
        <w:top w:val="single" w:color="31849B" w:sz="4" w:space="0"/>
        <w:left w:val="single" w:color="31849B" w:sz="4" w:space="0"/>
        <w:bottom w:val="single" w:color="31849B" w:sz="4" w:space="0"/>
        <w:right w:val="single" w:color="31849B" w:sz="4" w:space="0"/>
        <w:insideH w:val="single" w:color="31849B" w:sz="4" w:space="0"/>
        <w:insideV w:val="single" w:color="31849B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</w:style>
  <w:style w:type="table" w:customStyle="1" w:styleId="206">
    <w:name w:val="Bordered &amp; Lined - Accent 6"/>
    <w:basedOn w:val="12"/>
    <w:qFormat/>
    <w:uiPriority w:val="99"/>
    <w:rPr>
      <w:color w:val="404040"/>
    </w:rPr>
    <w:tblPr>
      <w:tblBorders>
        <w:top w:val="single" w:color="E36C0A" w:sz="4" w:space="0"/>
        <w:left w:val="single" w:color="E36C0A" w:sz="4" w:space="0"/>
        <w:bottom w:val="single" w:color="E36C0A" w:sz="4" w:space="0"/>
        <w:right w:val="single" w:color="E36C0A" w:sz="4" w:space="0"/>
        <w:insideH w:val="single" w:color="E36C0A" w:sz="4" w:space="0"/>
        <w:insideV w:val="single" w:color="E36C0A" w:sz="4" w:space="0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</w:style>
  <w:style w:type="character" w:customStyle="1" w:styleId="207">
    <w:name w:val="Текст сноски Знак"/>
    <w:link w:val="24"/>
    <w:qFormat/>
    <w:uiPriority w:val="99"/>
    <w:rPr>
      <w:sz w:val="18"/>
    </w:rPr>
  </w:style>
  <w:style w:type="paragraph" w:customStyle="1" w:styleId="208">
    <w:name w:val="Заголовок оглавления1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Cs w:val="22"/>
      <w:lang w:val="ru-RU" w:eastAsia="ru-RU" w:bidi="ar-SA"/>
    </w:rPr>
  </w:style>
  <w:style w:type="character" w:customStyle="1" w:styleId="209">
    <w:name w:val="Основной текст с отступом Знак"/>
    <w:basedOn w:val="11"/>
    <w:link w:val="37"/>
    <w:qFormat/>
    <w:uiPriority w:val="0"/>
    <w:rPr>
      <w:rFonts w:ascii="Arial" w:hAnsi="Arial"/>
      <w:b/>
      <w:i/>
      <w:sz w:val="36"/>
    </w:rPr>
  </w:style>
  <w:style w:type="paragraph" w:styleId="210">
    <w:name w:val="List Paragraph"/>
    <w:basedOn w:val="1"/>
    <w:qFormat/>
    <w:uiPriority w:val="34"/>
    <w:pPr>
      <w:ind w:left="720"/>
      <w:contextualSpacing/>
    </w:pPr>
    <w:rPr>
      <w:sz w:val="24"/>
      <w:szCs w:val="24"/>
    </w:rPr>
  </w:style>
  <w:style w:type="paragraph" w:customStyle="1" w:styleId="211">
    <w:name w:val="Default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Calibri"/>
      <w:color w:val="000000"/>
      <w:sz w:val="24"/>
      <w:szCs w:val="24"/>
      <w:lang w:val="ru-RU" w:eastAsia="ar-SA" w:bidi="ar-SA"/>
    </w:rPr>
  </w:style>
  <w:style w:type="paragraph" w:customStyle="1" w:styleId="212">
    <w:name w:val="Верхний колонтитул1"/>
    <w:basedOn w:val="1"/>
    <w:link w:val="213"/>
    <w:qFormat/>
    <w:uiPriority w:val="99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lang w:eastAsia="ar-SA"/>
    </w:rPr>
  </w:style>
  <w:style w:type="character" w:customStyle="1" w:styleId="213">
    <w:name w:val="Верхний колонтитул Знак"/>
    <w:basedOn w:val="11"/>
    <w:link w:val="212"/>
    <w:qFormat/>
    <w:uiPriority w:val="99"/>
    <w:rPr>
      <w:rFonts w:ascii="Calibri" w:hAnsi="Calibri"/>
      <w:sz w:val="22"/>
      <w:szCs w:val="22"/>
      <w:lang w:eastAsia="ar-SA"/>
    </w:rPr>
  </w:style>
  <w:style w:type="paragraph" w:customStyle="1" w:styleId="214">
    <w:name w:val="Нижний колонтитул1"/>
    <w:basedOn w:val="1"/>
    <w:link w:val="215"/>
    <w:qFormat/>
    <w:uiPriority w:val="99"/>
    <w:pPr>
      <w:tabs>
        <w:tab w:val="center" w:pos="4677"/>
        <w:tab w:val="right" w:pos="9355"/>
      </w:tabs>
    </w:pPr>
  </w:style>
  <w:style w:type="character" w:customStyle="1" w:styleId="215">
    <w:name w:val="Нижний колонтитул Знак"/>
    <w:basedOn w:val="11"/>
    <w:link w:val="214"/>
    <w:qFormat/>
    <w:uiPriority w:val="99"/>
  </w:style>
  <w:style w:type="character" w:customStyle="1" w:styleId="216">
    <w:name w:val="txt6"/>
    <w:basedOn w:val="11"/>
    <w:qFormat/>
    <w:uiPriority w:val="0"/>
    <w:rPr>
      <w:color w:val="363636"/>
    </w:rPr>
  </w:style>
  <w:style w:type="character" w:customStyle="1" w:styleId="217">
    <w:name w:val="rht1"/>
    <w:basedOn w:val="11"/>
    <w:qFormat/>
    <w:uiPriority w:val="0"/>
    <w:rPr>
      <w:color w:val="666666"/>
    </w:rPr>
  </w:style>
  <w:style w:type="character" w:customStyle="1" w:styleId="218">
    <w:name w:val="Текст выноски Знак"/>
    <w:basedOn w:val="11"/>
    <w:link w:val="18"/>
    <w:qFormat/>
    <w:uiPriority w:val="0"/>
    <w:rPr>
      <w:rFonts w:ascii="Tahoma" w:hAnsi="Tahoma" w:cs="Tahoma"/>
      <w:sz w:val="16"/>
      <w:szCs w:val="16"/>
    </w:rPr>
  </w:style>
  <w:style w:type="paragraph" w:customStyle="1" w:styleId="219">
    <w:name w:val="Обычный1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Cs w:val="22"/>
      <w:lang w:val="ru-RU" w:eastAsia="ru-RU" w:bidi="ar-SA"/>
    </w:rPr>
  </w:style>
  <w:style w:type="character" w:customStyle="1" w:styleId="220">
    <w:name w:val="Основной текст (2)_"/>
    <w:link w:val="221"/>
    <w:qFormat/>
    <w:uiPriority w:val="99"/>
    <w:rPr>
      <w:sz w:val="25"/>
      <w:szCs w:val="25"/>
      <w:shd w:val="clear" w:color="auto" w:fill="FFFFFF"/>
    </w:rPr>
  </w:style>
  <w:style w:type="paragraph" w:customStyle="1" w:styleId="221">
    <w:name w:val="Основной текст (2)1"/>
    <w:basedOn w:val="1"/>
    <w:link w:val="220"/>
    <w:qFormat/>
    <w:uiPriority w:val="99"/>
    <w:pPr>
      <w:shd w:val="clear" w:color="auto" w:fill="FFFFFF"/>
      <w:spacing w:before="780" w:after="240" w:line="307" w:lineRule="exact"/>
      <w:jc w:val="center"/>
    </w:pPr>
    <w:rPr>
      <w:sz w:val="25"/>
      <w:szCs w:val="25"/>
    </w:rPr>
  </w:style>
  <w:style w:type="character" w:customStyle="1" w:styleId="222">
    <w:name w:val="Основной текст (2)"/>
    <w:qFormat/>
    <w:uiPriority w:val="99"/>
    <w:rPr>
      <w:rFonts w:ascii="Times New Roman" w:hAnsi="Times New Roman" w:cs="Times New Roman"/>
      <w:spacing w:val="0"/>
      <w:sz w:val="25"/>
      <w:szCs w:val="25"/>
    </w:rPr>
  </w:style>
  <w:style w:type="character" w:customStyle="1" w:styleId="223">
    <w:name w:val="Основной текст (2)2"/>
    <w:qFormat/>
    <w:uiPriority w:val="99"/>
    <w:rPr>
      <w:rFonts w:ascii="Times New Roman" w:hAnsi="Times New Roman" w:cs="Times New Roman"/>
      <w:spacing w:val="0"/>
      <w:sz w:val="25"/>
      <w:szCs w:val="25"/>
    </w:rPr>
  </w:style>
  <w:style w:type="character" w:customStyle="1" w:styleId="224">
    <w:name w:val="Основной текст Знак"/>
    <w:basedOn w:val="11"/>
    <w:link w:val="29"/>
    <w:qFormat/>
    <w:uiPriority w:val="0"/>
  </w:style>
  <w:style w:type="character" w:customStyle="1" w:styleId="225">
    <w:name w:val="Заголовок №1 (2)_"/>
    <w:link w:val="226"/>
    <w:qFormat/>
    <w:uiPriority w:val="99"/>
    <w:rPr>
      <w:b/>
      <w:bCs/>
      <w:sz w:val="27"/>
      <w:szCs w:val="27"/>
      <w:shd w:val="clear" w:color="auto" w:fill="FFFFFF"/>
    </w:rPr>
  </w:style>
  <w:style w:type="paragraph" w:customStyle="1" w:styleId="226">
    <w:name w:val="Заголовок №1 (2)1"/>
    <w:basedOn w:val="1"/>
    <w:link w:val="225"/>
    <w:qFormat/>
    <w:uiPriority w:val="99"/>
    <w:pPr>
      <w:shd w:val="clear" w:color="auto" w:fill="FFFFFF"/>
      <w:spacing w:line="322" w:lineRule="exact"/>
      <w:outlineLvl w:val="0"/>
    </w:pPr>
    <w:rPr>
      <w:b/>
      <w:bCs/>
      <w:sz w:val="27"/>
      <w:szCs w:val="27"/>
    </w:rPr>
  </w:style>
  <w:style w:type="character" w:customStyle="1" w:styleId="227">
    <w:name w:val="Текст примечания Знак"/>
    <w:basedOn w:val="11"/>
    <w:link w:val="22"/>
    <w:semiHidden/>
    <w:qFormat/>
    <w:uiPriority w:val="0"/>
  </w:style>
  <w:style w:type="character" w:customStyle="1" w:styleId="228">
    <w:name w:val="Тема примечания Знак"/>
    <w:basedOn w:val="227"/>
    <w:link w:val="23"/>
    <w:semiHidden/>
    <w:qFormat/>
    <w:uiPriority w:val="0"/>
    <w:rPr>
      <w:b/>
      <w:bCs/>
    </w:rPr>
  </w:style>
  <w:style w:type="character" w:customStyle="1" w:styleId="229">
    <w:name w:val="Текст примечания Знак2"/>
    <w:semiHidden/>
    <w:qFormat/>
    <w:uiPriority w:val="99"/>
    <w:rPr>
      <w:rFonts w:cs="Mangal"/>
      <w:szCs w:val="18"/>
      <w:lang w:eastAsia="zh-CN" w:bidi="hi-IN"/>
    </w:rPr>
  </w:style>
  <w:style w:type="character" w:customStyle="1" w:styleId="230">
    <w:name w:val="Верхний колонтитул Знак1"/>
    <w:basedOn w:val="11"/>
    <w:link w:val="26"/>
    <w:semiHidden/>
    <w:qFormat/>
    <w:uiPriority w:val="99"/>
  </w:style>
  <w:style w:type="character" w:customStyle="1" w:styleId="231">
    <w:name w:val="Нижний колонтитул Знак1"/>
    <w:basedOn w:val="11"/>
    <w:link w:val="39"/>
    <w:semiHidden/>
    <w:qFormat/>
    <w:uiPriority w:val="99"/>
  </w:style>
  <w:style w:type="character" w:customStyle="1" w:styleId="232">
    <w:name w:val="Неразрешенное упоминание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3">
    <w:name w:val="Рецензия1"/>
    <w:hidden/>
    <w:semiHidden/>
    <w:qFormat/>
    <w:uiPriority w:val="99"/>
    <w:rPr>
      <w:rFonts w:ascii="Times New Roman" w:hAnsi="Times New Roman" w:eastAsia="Times New Roman" w:cs="Times New Roman"/>
      <w:szCs w:val="22"/>
      <w:lang w:val="ru-RU" w:eastAsia="ru-RU" w:bidi="ar-SA"/>
    </w:rPr>
  </w:style>
  <w:style w:type="paragraph" w:customStyle="1" w:styleId="234">
    <w:name w:val="абзац Положения"/>
    <w:qFormat/>
    <w:uiPriority w:val="0"/>
    <w:pPr>
      <w:ind w:firstLine="567"/>
      <w:jc w:val="both"/>
      <w:outlineLvl w:val="2"/>
    </w:pPr>
    <w:rPr>
      <w:rFonts w:ascii="Times New Roman" w:hAnsi="Times New Roman" w:eastAsia="Calibri" w:cs="Times New Roman"/>
      <w:bCs/>
      <w:color w:val="000000" w:themeColor="text1"/>
      <w:sz w:val="28"/>
      <w:szCs w:val="28"/>
      <w:lang w:val="ru-RU" w:eastAsia="en-US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E78A5-07D6-434D-B407-7EABFB794E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4284</Words>
  <Characters>29246</Characters>
  <Lines>246</Lines>
  <Paragraphs>69</Paragraphs>
  <TotalTime>1</TotalTime>
  <ScaleCrop>false</ScaleCrop>
  <LinksUpToDate>false</LinksUpToDate>
  <CharactersWithSpaces>34072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2026-09-23T10:15:00Z</dcterms:created>
  <dc:creator>Win 7</dc:creator>
  <cp:lastModifiedBy>WPS_1710217607</cp:lastModifiedBy>
  <dcterms:modified xsi:type="dcterms:W3CDTF">2026-09-24T07:09:34Z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0BEC434344D94DFB94859F7A21F211BC_13</vt:lpwstr>
  </property>
  <property fmtid="{D5CDD505-2E9C-101B-9397-08002B2CF9AE}" pid="4" name="KSOTemplateDocerSaveRecord">
    <vt:lpwstr>eyJoZGlkIjoiYWY0ZTNkM2VmYjdjZTg2MzY1OTM1OTlkNzY2NTQ1YTUiLCJ1c2VySWQiOiI4NDIzMzQwNjAzNzgifQ==</vt:lpwstr>
  </property>
</Properties>
</file>